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690A4" w14:textId="3A0E6DDC" w:rsidR="0021652D" w:rsidRDefault="001B2301">
      <w:pPr>
        <w:jc w:val="center"/>
        <w:rPr>
          <w:b/>
          <w:sz w:val="36"/>
          <w:szCs w:val="36"/>
        </w:rPr>
      </w:pPr>
      <w:bookmarkStart w:id="0" w:name="_GoBack"/>
      <w:bookmarkEnd w:id="0"/>
      <w:r w:rsidRPr="00B415E3">
        <w:rPr>
          <w:b/>
          <w:sz w:val="36"/>
          <w:szCs w:val="36"/>
        </w:rPr>
        <w:t>Online Social Games: The Effect of Social Comparison Elements on Continuance Behaviour</w:t>
      </w:r>
    </w:p>
    <w:p w14:paraId="569967FD" w14:textId="77777777" w:rsidR="0046270C" w:rsidRDefault="0046270C">
      <w:pPr>
        <w:jc w:val="center"/>
        <w:rPr>
          <w:b/>
          <w:sz w:val="36"/>
          <w:szCs w:val="36"/>
        </w:rPr>
      </w:pPr>
    </w:p>
    <w:p w14:paraId="69599006" w14:textId="19A95C2D" w:rsidR="0046270C" w:rsidRPr="0046270C" w:rsidRDefault="0046270C">
      <w:pPr>
        <w:jc w:val="center"/>
        <w:rPr>
          <w:b/>
          <w:sz w:val="24"/>
          <w:szCs w:val="24"/>
        </w:rPr>
      </w:pPr>
      <w:r w:rsidRPr="0046270C">
        <w:rPr>
          <w:b/>
          <w:sz w:val="24"/>
          <w:szCs w:val="24"/>
        </w:rPr>
        <w:t>Abstract</w:t>
      </w:r>
    </w:p>
    <w:p w14:paraId="22A7EDE6" w14:textId="4C731BA2" w:rsidR="0021652D" w:rsidRPr="00B415E3" w:rsidRDefault="001B2301" w:rsidP="0046270C">
      <w:pPr>
        <w:spacing w:line="480" w:lineRule="auto"/>
        <w:rPr>
          <w:sz w:val="24"/>
          <w:szCs w:val="24"/>
        </w:rPr>
      </w:pPr>
      <w:bookmarkStart w:id="1" w:name="_heading=h.gjdgxs" w:colFirst="0" w:colLast="0"/>
      <w:bookmarkEnd w:id="1"/>
      <w:r w:rsidRPr="00B415E3">
        <w:rPr>
          <w:sz w:val="24"/>
          <w:szCs w:val="24"/>
        </w:rPr>
        <w:t xml:space="preserve">Online games also called “social games”, played within social networks or games requiring social interaction with peers, are revolutionizing the nature of video-games due to their social aspect and the ability of users to compare their performance with their friends or people in their network. Social comparison features such as leaderboards, individual scores, achievement badges and level maps are commonly used in online games to enforce the social interaction of players. However, one of the biggest challenges that the social game industry is currently facing is the ability to increase user enjoyment, and keep its players engaged in the games. To probe more deeply into whether </w:t>
      </w:r>
      <w:r w:rsidR="00245C74" w:rsidRPr="00B415E3">
        <w:rPr>
          <w:sz w:val="24"/>
          <w:szCs w:val="24"/>
        </w:rPr>
        <w:t xml:space="preserve">and how </w:t>
      </w:r>
      <w:r w:rsidRPr="00B415E3">
        <w:rPr>
          <w:sz w:val="24"/>
          <w:szCs w:val="24"/>
        </w:rPr>
        <w:t xml:space="preserve">players’ continuance intention is influenced by social comparison processes, we combine two theoretical lenses: social comparison theory and self-efficacy theory. We conduct a real-world data collection to measure the impact of social comparisons in player perceived enjoyment, online social gaming self-efficacy and game continuance. The results indicate that upward identification and downward contrast are the most influential comparison elements in game continuance. The results of these two comparisons have significant implications for both the theoretical application of social comparison in online settings and for the practical implications of future game design. </w:t>
      </w:r>
    </w:p>
    <w:p w14:paraId="5F7CA7DD" w14:textId="5637314C" w:rsidR="0046270C" w:rsidRPr="0046270C" w:rsidRDefault="001B2301">
      <w:pPr>
        <w:spacing w:line="480" w:lineRule="auto"/>
        <w:rPr>
          <w:sz w:val="24"/>
          <w:szCs w:val="24"/>
        </w:rPr>
      </w:pPr>
      <w:r w:rsidRPr="00B415E3">
        <w:rPr>
          <w:b/>
          <w:sz w:val="24"/>
          <w:szCs w:val="24"/>
        </w:rPr>
        <w:t>Keywords</w:t>
      </w:r>
      <w:r w:rsidRPr="00B415E3">
        <w:rPr>
          <w:sz w:val="24"/>
          <w:szCs w:val="24"/>
        </w:rPr>
        <w:t xml:space="preserve">: </w:t>
      </w:r>
      <w:r w:rsidRPr="00B415E3">
        <w:rPr>
          <w:i/>
          <w:sz w:val="24"/>
          <w:szCs w:val="24"/>
        </w:rPr>
        <w:t>hedonic environments, IS continuance, social comparison theory, self-efficacy theory, online social games, perceived enjoyment</w:t>
      </w:r>
    </w:p>
    <w:p w14:paraId="650C0DA9" w14:textId="77777777" w:rsidR="0021652D" w:rsidRPr="00B415E3" w:rsidRDefault="001B2301" w:rsidP="001B1619">
      <w:pPr>
        <w:pStyle w:val="Heading1"/>
        <w:numPr>
          <w:ilvl w:val="0"/>
          <w:numId w:val="2"/>
        </w:numPr>
        <w:spacing w:before="0" w:after="240" w:line="480" w:lineRule="auto"/>
        <w:rPr>
          <w:color w:val="auto"/>
        </w:rPr>
      </w:pPr>
      <w:r w:rsidRPr="00B415E3">
        <w:rPr>
          <w:color w:val="auto"/>
        </w:rPr>
        <w:lastRenderedPageBreak/>
        <w:t>Introduction</w:t>
      </w:r>
    </w:p>
    <w:p w14:paraId="1A74F034" w14:textId="6AB72AE5" w:rsidR="0021652D" w:rsidRPr="00B415E3" w:rsidRDefault="001B2301" w:rsidP="00B543EF">
      <w:pPr>
        <w:spacing w:before="0" w:line="480" w:lineRule="auto"/>
        <w:rPr>
          <w:sz w:val="24"/>
          <w:szCs w:val="24"/>
        </w:rPr>
      </w:pPr>
      <w:r w:rsidRPr="00B415E3">
        <w:rPr>
          <w:sz w:val="24"/>
          <w:szCs w:val="24"/>
        </w:rPr>
        <w:t xml:space="preserve">Hedonic information systems (HIS) are defined as the information systems in which the user “experiences fun while using the system” (Van der Heijden 2004). HIS have different instantiations in the form of digital artifacts such as online music platforms (Turel et al. 2010), online video games (Turel et al. 2010; Wang et al. 2012) or online social media platforms (Turel 2015). </w:t>
      </w:r>
      <w:r w:rsidR="00FF0DCF">
        <w:rPr>
          <w:sz w:val="24"/>
          <w:szCs w:val="24"/>
        </w:rPr>
        <w:t>While t</w:t>
      </w:r>
      <w:r w:rsidRPr="00B415E3">
        <w:rPr>
          <w:sz w:val="24"/>
          <w:szCs w:val="24"/>
        </w:rPr>
        <w:t xml:space="preserve">he acceptance of HIS </w:t>
      </w:r>
      <w:r w:rsidR="00FF0DCF">
        <w:rPr>
          <w:sz w:val="24"/>
          <w:szCs w:val="24"/>
        </w:rPr>
        <w:t xml:space="preserve">and the HIS discontinuance in the form of quitting addition </w:t>
      </w:r>
      <w:r w:rsidRPr="00B415E3">
        <w:rPr>
          <w:sz w:val="24"/>
          <w:szCs w:val="24"/>
        </w:rPr>
        <w:t>ha</w:t>
      </w:r>
      <w:r w:rsidR="00FF0DCF">
        <w:rPr>
          <w:sz w:val="24"/>
          <w:szCs w:val="24"/>
        </w:rPr>
        <w:t>ve</w:t>
      </w:r>
      <w:r w:rsidRPr="00B415E3">
        <w:rPr>
          <w:sz w:val="24"/>
          <w:szCs w:val="24"/>
        </w:rPr>
        <w:t xml:space="preserve"> been thoroughly studied in the IS literature (Van der Heijden 2004; Rosen et al. 2006; Turel et al. 2010; Wang et al. 2012</w:t>
      </w:r>
      <w:r w:rsidR="00FF0DCF">
        <w:rPr>
          <w:sz w:val="24"/>
          <w:szCs w:val="24"/>
        </w:rPr>
        <w:t xml:space="preserve">, </w:t>
      </w:r>
      <w:r w:rsidRPr="00B415E3">
        <w:rPr>
          <w:sz w:val="24"/>
          <w:szCs w:val="24"/>
        </w:rPr>
        <w:t>Turel et al. 2011; Turel 2015)</w:t>
      </w:r>
      <w:r w:rsidR="00FF0DCF">
        <w:rPr>
          <w:sz w:val="24"/>
          <w:szCs w:val="24"/>
        </w:rPr>
        <w:t xml:space="preserve">, </w:t>
      </w:r>
      <w:r w:rsidRPr="00B415E3">
        <w:rPr>
          <w:sz w:val="24"/>
          <w:szCs w:val="24"/>
        </w:rPr>
        <w:t xml:space="preserve">it still remains unexplored how a user’s intentions to continue using a HIS can be influenced by different HIS social design features. </w:t>
      </w:r>
    </w:p>
    <w:p w14:paraId="6F82A2D5" w14:textId="19B4EA55" w:rsidR="00EF262D" w:rsidRDefault="001B2301" w:rsidP="00EF262D">
      <w:pPr>
        <w:spacing w:line="480" w:lineRule="auto"/>
        <w:rPr>
          <w:sz w:val="24"/>
          <w:szCs w:val="24"/>
        </w:rPr>
      </w:pPr>
      <w:r w:rsidRPr="00B415E3">
        <w:rPr>
          <w:sz w:val="24"/>
          <w:szCs w:val="24"/>
        </w:rPr>
        <w:t xml:space="preserve">For HIS designers, e.g., online social network platform or video game designers, the ability to apply external pressures within the game to incentivize users to continue using the HIS is vital. Investments in designing HIS are substantial and require continuous user engagement in order to break-even and start receiving returns. The inability to maintain a committed customer base </w:t>
      </w:r>
      <w:r w:rsidR="00CD3088">
        <w:rPr>
          <w:sz w:val="24"/>
          <w:szCs w:val="24"/>
        </w:rPr>
        <w:t xml:space="preserve">can </w:t>
      </w:r>
      <w:r w:rsidRPr="00B415E3">
        <w:rPr>
          <w:sz w:val="24"/>
          <w:szCs w:val="24"/>
        </w:rPr>
        <w:t>force HIS out of business very quickly. However, for those businesses that capture customer commitment, returns can be substantial. For example, globally, video games are a $137.9</w:t>
      </w:r>
      <w:r w:rsidR="00B543EF">
        <w:rPr>
          <w:sz w:val="24"/>
          <w:szCs w:val="24"/>
        </w:rPr>
        <w:t xml:space="preserve"> </w:t>
      </w:r>
      <w:r w:rsidRPr="00B415E3">
        <w:rPr>
          <w:sz w:val="24"/>
          <w:szCs w:val="24"/>
        </w:rPr>
        <w:t>b</w:t>
      </w:r>
      <w:r w:rsidR="00486A00">
        <w:rPr>
          <w:sz w:val="24"/>
          <w:szCs w:val="24"/>
        </w:rPr>
        <w:t>n</w:t>
      </w:r>
      <w:r w:rsidRPr="00B415E3">
        <w:rPr>
          <w:sz w:val="24"/>
          <w:szCs w:val="24"/>
        </w:rPr>
        <w:t xml:space="preserve"> industry, bigger than both the film </w:t>
      </w:r>
      <w:r w:rsidR="00CD3088">
        <w:rPr>
          <w:sz w:val="24"/>
          <w:szCs w:val="24"/>
        </w:rPr>
        <w:t>and</w:t>
      </w:r>
      <w:r w:rsidRPr="00B415E3">
        <w:rPr>
          <w:sz w:val="24"/>
          <w:szCs w:val="24"/>
        </w:rPr>
        <w:t xml:space="preserve"> music industr</w:t>
      </w:r>
      <w:r w:rsidR="008F4E90">
        <w:rPr>
          <w:sz w:val="24"/>
          <w:szCs w:val="24"/>
        </w:rPr>
        <w:t>y</w:t>
      </w:r>
      <w:r w:rsidRPr="00B415E3">
        <w:rPr>
          <w:sz w:val="24"/>
          <w:szCs w:val="24"/>
        </w:rPr>
        <w:t>, with nearly 2.3 b</w:t>
      </w:r>
      <w:r w:rsidR="00486A00">
        <w:rPr>
          <w:sz w:val="24"/>
          <w:szCs w:val="24"/>
        </w:rPr>
        <w:t>n</w:t>
      </w:r>
      <w:r w:rsidRPr="00B415E3">
        <w:rPr>
          <w:sz w:val="24"/>
          <w:szCs w:val="24"/>
        </w:rPr>
        <w:t xml:space="preserve"> people playing games on various devices (Newzoo 2018). Online Social games - also known as social network games - a sub-category of video games which are games played through online social networking platforms</w:t>
      </w:r>
      <w:r w:rsidR="00CD3088">
        <w:rPr>
          <w:sz w:val="24"/>
          <w:szCs w:val="24"/>
        </w:rPr>
        <w:t xml:space="preserve"> </w:t>
      </w:r>
      <w:r w:rsidRPr="00B415E3">
        <w:rPr>
          <w:sz w:val="24"/>
          <w:szCs w:val="24"/>
        </w:rPr>
        <w:t>or games which require social interaction with other players, are enjoying enormous popularity.</w:t>
      </w:r>
      <w:r w:rsidR="00FF0DCF">
        <w:rPr>
          <w:rStyle w:val="FootnoteReference"/>
          <w:sz w:val="24"/>
          <w:szCs w:val="24"/>
        </w:rPr>
        <w:footnoteReference w:id="1"/>
      </w:r>
      <w:r w:rsidRPr="00B415E3">
        <w:rPr>
          <w:sz w:val="24"/>
          <w:szCs w:val="24"/>
        </w:rPr>
        <w:t xml:space="preserve"> </w:t>
      </w:r>
      <w:bookmarkStart w:id="2" w:name="_Hlk44427125"/>
    </w:p>
    <w:p w14:paraId="3405FD9F" w14:textId="5DC2C706" w:rsidR="002F7F3D" w:rsidRPr="00B415E3" w:rsidRDefault="001B2301" w:rsidP="00EF262D">
      <w:pPr>
        <w:spacing w:line="480" w:lineRule="auto"/>
        <w:rPr>
          <w:sz w:val="24"/>
          <w:szCs w:val="24"/>
        </w:rPr>
      </w:pPr>
      <w:r w:rsidRPr="00B415E3">
        <w:rPr>
          <w:sz w:val="24"/>
          <w:szCs w:val="24"/>
        </w:rPr>
        <w:lastRenderedPageBreak/>
        <w:t xml:space="preserve">Literature on HIS has shown that </w:t>
      </w:r>
      <w:r w:rsidR="002F7F3D" w:rsidRPr="00B415E3">
        <w:rPr>
          <w:sz w:val="24"/>
          <w:szCs w:val="24"/>
        </w:rPr>
        <w:t>online communities, such as online social games, are still suffering from reduced continuance and low members’ motivation to continue being engaged (</w:t>
      </w:r>
      <w:r w:rsidR="002F7F3D" w:rsidRPr="00B415E3">
        <w:rPr>
          <w:sz w:val="24"/>
          <w:szCs w:val="24"/>
          <w:lang w:val="en-US"/>
        </w:rPr>
        <w:t>Kuem et al. 2020</w:t>
      </w:r>
      <w:r w:rsidR="00CB66E5">
        <w:rPr>
          <w:sz w:val="24"/>
          <w:szCs w:val="24"/>
          <w:lang w:val="en-US"/>
        </w:rPr>
        <w:t>;</w:t>
      </w:r>
      <w:r w:rsidR="002F7F3D" w:rsidRPr="00B415E3">
        <w:rPr>
          <w:sz w:val="24"/>
          <w:szCs w:val="24"/>
          <w:lang w:val="en-US"/>
        </w:rPr>
        <w:t xml:space="preserve"> </w:t>
      </w:r>
      <w:r w:rsidR="002F7F3D" w:rsidRPr="00B415E3">
        <w:rPr>
          <w:sz w:val="24"/>
          <w:szCs w:val="24"/>
        </w:rPr>
        <w:t>Ma et al. 2018</w:t>
      </w:r>
      <w:r w:rsidR="002F7F3D" w:rsidRPr="00B415E3">
        <w:rPr>
          <w:sz w:val="24"/>
          <w:szCs w:val="24"/>
          <w:lang w:val="en-US"/>
        </w:rPr>
        <w:t>)</w:t>
      </w:r>
      <w:r w:rsidR="002F7F3D" w:rsidRPr="00B415E3">
        <w:rPr>
          <w:sz w:val="24"/>
          <w:szCs w:val="24"/>
        </w:rPr>
        <w:t>. S</w:t>
      </w:r>
      <w:r w:rsidRPr="00B415E3">
        <w:rPr>
          <w:sz w:val="24"/>
          <w:szCs w:val="24"/>
        </w:rPr>
        <w:t>ocial presence by itself has the potential to increase participation and continuance in HIS (Shen 2012</w:t>
      </w:r>
      <w:r w:rsidR="00CB66E5">
        <w:rPr>
          <w:sz w:val="24"/>
          <w:szCs w:val="24"/>
        </w:rPr>
        <w:t>;</w:t>
      </w:r>
      <w:r w:rsidRPr="00B415E3">
        <w:rPr>
          <w:sz w:val="24"/>
          <w:szCs w:val="24"/>
        </w:rPr>
        <w:t xml:space="preserve"> Zhou et al. 2014). Characteristics, such as the size of an online social community and endorsements of specific members </w:t>
      </w:r>
      <w:r w:rsidR="00424D5C" w:rsidRPr="00B415E3">
        <w:rPr>
          <w:sz w:val="24"/>
          <w:szCs w:val="24"/>
        </w:rPr>
        <w:t xml:space="preserve">and prominence </w:t>
      </w:r>
      <w:r w:rsidRPr="00B415E3">
        <w:rPr>
          <w:sz w:val="24"/>
          <w:szCs w:val="24"/>
        </w:rPr>
        <w:t>within the community, are known to increase the quality of participation in HIS (</w:t>
      </w:r>
      <w:r w:rsidR="00424D5C" w:rsidRPr="00B415E3">
        <w:rPr>
          <w:sz w:val="24"/>
          <w:szCs w:val="24"/>
          <w:lang w:val="en-US"/>
        </w:rPr>
        <w:t>Kuem et al. 2020</w:t>
      </w:r>
      <w:r w:rsidR="00CB66E5">
        <w:rPr>
          <w:sz w:val="24"/>
          <w:szCs w:val="24"/>
          <w:lang w:val="en-US"/>
        </w:rPr>
        <w:t>;</w:t>
      </w:r>
      <w:r w:rsidR="00424D5C" w:rsidRPr="00B415E3">
        <w:rPr>
          <w:sz w:val="24"/>
          <w:szCs w:val="24"/>
          <w:lang w:val="en-US"/>
        </w:rPr>
        <w:t xml:space="preserve"> </w:t>
      </w:r>
      <w:r w:rsidRPr="00B415E3">
        <w:rPr>
          <w:sz w:val="24"/>
          <w:szCs w:val="24"/>
        </w:rPr>
        <w:t>Qiu et al. 2017), while feelings of trust toward the online community increase engagement in HIS (Hsiao et al. 2012a, b).  Furthermore, Shen (2012) emphasises the importance of the internal and external pressures to influence ongoing social continuance</w:t>
      </w:r>
      <w:bookmarkEnd w:id="2"/>
      <w:r w:rsidRPr="00B415E3">
        <w:rPr>
          <w:sz w:val="24"/>
          <w:szCs w:val="24"/>
        </w:rPr>
        <w:t xml:space="preserve">. </w:t>
      </w:r>
    </w:p>
    <w:p w14:paraId="2918889D" w14:textId="4AE72EB5" w:rsidR="0021652D" w:rsidRPr="00B415E3" w:rsidRDefault="001B2301" w:rsidP="00424D5C">
      <w:pPr>
        <w:spacing w:line="480" w:lineRule="auto"/>
        <w:rPr>
          <w:sz w:val="24"/>
          <w:szCs w:val="24"/>
        </w:rPr>
      </w:pPr>
      <w:r w:rsidRPr="00B415E3">
        <w:rPr>
          <w:sz w:val="24"/>
          <w:szCs w:val="24"/>
        </w:rPr>
        <w:t xml:space="preserve">In online games, </w:t>
      </w:r>
      <w:r w:rsidR="00654AFE" w:rsidRPr="00B415E3">
        <w:rPr>
          <w:sz w:val="24"/>
          <w:szCs w:val="24"/>
        </w:rPr>
        <w:t xml:space="preserve">more </w:t>
      </w:r>
      <w:r w:rsidRPr="00B415E3">
        <w:rPr>
          <w:sz w:val="24"/>
          <w:szCs w:val="24"/>
        </w:rPr>
        <w:t xml:space="preserve">specifically, </w:t>
      </w:r>
      <w:r w:rsidR="00654AFE" w:rsidRPr="00B415E3">
        <w:rPr>
          <w:sz w:val="24"/>
          <w:szCs w:val="24"/>
        </w:rPr>
        <w:t xml:space="preserve">the </w:t>
      </w:r>
      <w:r w:rsidRPr="00B415E3">
        <w:rPr>
          <w:sz w:val="24"/>
          <w:szCs w:val="24"/>
        </w:rPr>
        <w:t>social relatedness of a player with the rest of the players has been shown to increase player satisfaction during the game (Sailer et al. 2017), whereas the feeling of belonging to a social community while playing</w:t>
      </w:r>
      <w:r w:rsidR="00654AFE" w:rsidRPr="00B415E3">
        <w:rPr>
          <w:sz w:val="24"/>
          <w:szCs w:val="24"/>
        </w:rPr>
        <w:t>,</w:t>
      </w:r>
      <w:r w:rsidRPr="00B415E3">
        <w:rPr>
          <w:sz w:val="24"/>
          <w:szCs w:val="24"/>
        </w:rPr>
        <w:t xml:space="preserve"> increases continuance and game retention (Tseng et al. 2015). More importantly, Sweetser, et al. </w:t>
      </w:r>
      <w:r w:rsidR="00AB2C23" w:rsidRPr="00B415E3">
        <w:rPr>
          <w:sz w:val="24"/>
          <w:szCs w:val="24"/>
        </w:rPr>
        <w:t>(</w:t>
      </w:r>
      <w:r w:rsidRPr="00B415E3">
        <w:rPr>
          <w:sz w:val="24"/>
          <w:szCs w:val="24"/>
        </w:rPr>
        <w:t>2005</w:t>
      </w:r>
      <w:r w:rsidR="00AB2C23" w:rsidRPr="00B415E3">
        <w:rPr>
          <w:sz w:val="24"/>
          <w:szCs w:val="24"/>
        </w:rPr>
        <w:t>)</w:t>
      </w:r>
      <w:r w:rsidRPr="00B415E3">
        <w:rPr>
          <w:sz w:val="24"/>
          <w:szCs w:val="24"/>
        </w:rPr>
        <w:t xml:space="preserve"> and Jegers </w:t>
      </w:r>
      <w:r w:rsidR="00AB2C23" w:rsidRPr="00B415E3">
        <w:rPr>
          <w:sz w:val="24"/>
          <w:szCs w:val="24"/>
        </w:rPr>
        <w:t>(</w:t>
      </w:r>
      <w:r w:rsidRPr="00B415E3">
        <w:rPr>
          <w:sz w:val="24"/>
          <w:szCs w:val="24"/>
        </w:rPr>
        <w:t>2007</w:t>
      </w:r>
      <w:r w:rsidR="00AB2C23" w:rsidRPr="00B415E3">
        <w:rPr>
          <w:sz w:val="24"/>
          <w:szCs w:val="24"/>
        </w:rPr>
        <w:t>)</w:t>
      </w:r>
      <w:r w:rsidRPr="00B415E3">
        <w:rPr>
          <w:sz w:val="24"/>
          <w:szCs w:val="24"/>
        </w:rPr>
        <w:t xml:space="preserve"> show that social interactions among players in online games increase their enjoyment and satisfaction, compared to games with no social elements. Strengthening the latter, Shin et al. </w:t>
      </w:r>
      <w:r w:rsidR="00AB2C23" w:rsidRPr="00B415E3">
        <w:rPr>
          <w:sz w:val="24"/>
          <w:szCs w:val="24"/>
        </w:rPr>
        <w:t>(</w:t>
      </w:r>
      <w:r w:rsidRPr="00B415E3">
        <w:rPr>
          <w:sz w:val="24"/>
          <w:szCs w:val="24"/>
        </w:rPr>
        <w:t>2011</w:t>
      </w:r>
      <w:r w:rsidR="00AB2C23" w:rsidRPr="00B415E3">
        <w:rPr>
          <w:sz w:val="24"/>
          <w:szCs w:val="24"/>
        </w:rPr>
        <w:t>)</w:t>
      </w:r>
      <w:r w:rsidRPr="00B415E3">
        <w:rPr>
          <w:sz w:val="24"/>
          <w:szCs w:val="24"/>
        </w:rPr>
        <w:t xml:space="preserve"> find that when an online game is played within a social network, it increases the players’ enjoyment and continuance, compared to online games played individually. Hence, any emphasis on social interaction elements during the game has a strong potential to increase </w:t>
      </w:r>
      <w:r w:rsidR="00AB2C23" w:rsidRPr="00B415E3">
        <w:rPr>
          <w:sz w:val="24"/>
          <w:szCs w:val="24"/>
        </w:rPr>
        <w:t>continuance and</w:t>
      </w:r>
      <w:r w:rsidRPr="00B415E3">
        <w:rPr>
          <w:sz w:val="24"/>
          <w:szCs w:val="24"/>
        </w:rPr>
        <w:t xml:space="preserve"> provides a promising pathway toward increasing player satisfaction and retention. Besides economic benefits, social elements in video games can help in situations such as the recent COVID-19 pandemic, during which the campaign #PlayApartTogether was launched by the World Health Organization and was endorsed by 40 video game designers to help people socialize virtually via </w:t>
      </w:r>
      <w:r w:rsidRPr="00B415E3">
        <w:rPr>
          <w:sz w:val="24"/>
          <w:szCs w:val="24"/>
        </w:rPr>
        <w:lastRenderedPageBreak/>
        <w:t>online social games.</w:t>
      </w:r>
      <w:r w:rsidRPr="00B415E3">
        <w:rPr>
          <w:sz w:val="24"/>
          <w:szCs w:val="24"/>
          <w:vertAlign w:val="superscript"/>
        </w:rPr>
        <w:footnoteReference w:id="2"/>
      </w:r>
      <w:r w:rsidRPr="00B415E3">
        <w:rPr>
          <w:sz w:val="24"/>
          <w:szCs w:val="24"/>
        </w:rPr>
        <w:t xml:space="preserve"> They argue that with these social elements people can cope with stress and social distancing anxiety while playing online games and staying virtually connected.</w:t>
      </w:r>
      <w:r w:rsidRPr="00B415E3">
        <w:rPr>
          <w:sz w:val="24"/>
          <w:szCs w:val="24"/>
          <w:vertAlign w:val="superscript"/>
        </w:rPr>
        <w:footnoteReference w:id="3"/>
      </w:r>
    </w:p>
    <w:p w14:paraId="2D3DB0C0" w14:textId="076187EC" w:rsidR="0021652D" w:rsidRPr="00B415E3" w:rsidRDefault="001B2301">
      <w:pPr>
        <w:spacing w:line="480" w:lineRule="auto"/>
        <w:rPr>
          <w:sz w:val="24"/>
          <w:szCs w:val="24"/>
        </w:rPr>
      </w:pPr>
      <w:r w:rsidRPr="00B415E3">
        <w:rPr>
          <w:sz w:val="24"/>
          <w:szCs w:val="24"/>
        </w:rPr>
        <w:t xml:space="preserve">Despite the </w:t>
      </w:r>
      <w:r w:rsidR="00C63380" w:rsidRPr="00B415E3">
        <w:rPr>
          <w:sz w:val="24"/>
          <w:szCs w:val="24"/>
        </w:rPr>
        <w:t>pronounced</w:t>
      </w:r>
      <w:r w:rsidRPr="00B415E3">
        <w:rPr>
          <w:sz w:val="24"/>
          <w:szCs w:val="24"/>
        </w:rPr>
        <w:t xml:space="preserve"> need for concrete mechanisms to incentivize engagement and continuance (Chang et al. 2014</w:t>
      </w:r>
      <w:r w:rsidR="00CB66E5">
        <w:rPr>
          <w:sz w:val="24"/>
          <w:szCs w:val="24"/>
        </w:rPr>
        <w:t>;</w:t>
      </w:r>
      <w:r w:rsidRPr="00B415E3">
        <w:rPr>
          <w:sz w:val="24"/>
          <w:szCs w:val="24"/>
        </w:rPr>
        <w:t xml:space="preserve"> Hsiao et al. 2012a, b), and the proven superior experience of games with social elements (Sailer et al. 2017</w:t>
      </w:r>
      <w:r w:rsidR="00CB66E5">
        <w:rPr>
          <w:sz w:val="24"/>
          <w:szCs w:val="24"/>
        </w:rPr>
        <w:t>;</w:t>
      </w:r>
      <w:r w:rsidRPr="00B415E3">
        <w:rPr>
          <w:sz w:val="24"/>
          <w:szCs w:val="24"/>
        </w:rPr>
        <w:t xml:space="preserve"> Tseng et al. 2015</w:t>
      </w:r>
      <w:r w:rsidR="00CB66E5">
        <w:rPr>
          <w:sz w:val="24"/>
          <w:szCs w:val="24"/>
        </w:rPr>
        <w:t>;</w:t>
      </w:r>
      <w:r w:rsidRPr="00B415E3">
        <w:rPr>
          <w:sz w:val="24"/>
          <w:szCs w:val="24"/>
        </w:rPr>
        <w:t xml:space="preserve"> Shin et al. 2011</w:t>
      </w:r>
      <w:r w:rsidR="00CB66E5">
        <w:rPr>
          <w:sz w:val="24"/>
          <w:szCs w:val="24"/>
        </w:rPr>
        <w:t>;</w:t>
      </w:r>
      <w:r w:rsidRPr="00B415E3">
        <w:rPr>
          <w:sz w:val="24"/>
          <w:szCs w:val="24"/>
        </w:rPr>
        <w:t xml:space="preserve"> Jegers 2007</w:t>
      </w:r>
      <w:r w:rsidR="00CB66E5">
        <w:rPr>
          <w:sz w:val="24"/>
          <w:szCs w:val="24"/>
        </w:rPr>
        <w:t>;</w:t>
      </w:r>
      <w:r w:rsidRPr="00B415E3">
        <w:rPr>
          <w:sz w:val="24"/>
          <w:szCs w:val="24"/>
        </w:rPr>
        <w:t xml:space="preserve"> Sweetser et al. 2005)</w:t>
      </w:r>
      <w:r w:rsidR="002D4F8D" w:rsidRPr="00B415E3">
        <w:rPr>
          <w:sz w:val="24"/>
          <w:szCs w:val="24"/>
        </w:rPr>
        <w:t xml:space="preserve">, </w:t>
      </w:r>
      <w:r w:rsidR="0090186D" w:rsidRPr="00B415E3">
        <w:rPr>
          <w:sz w:val="24"/>
          <w:szCs w:val="24"/>
        </w:rPr>
        <w:t>s</w:t>
      </w:r>
      <w:r w:rsidRPr="00B415E3">
        <w:rPr>
          <w:sz w:val="24"/>
          <w:szCs w:val="24"/>
        </w:rPr>
        <w:t>o far, very few attempts have been made toward clearly articulating how the specific social elements of a HIS can serve as successful incentives for IS continuance. Social hedonic environments, such online social games, are becoming the norm (Sailer et al. 2017</w:t>
      </w:r>
      <w:r w:rsidR="00CB66E5">
        <w:rPr>
          <w:sz w:val="24"/>
          <w:szCs w:val="24"/>
        </w:rPr>
        <w:t>;</w:t>
      </w:r>
      <w:r w:rsidRPr="00B415E3">
        <w:rPr>
          <w:sz w:val="24"/>
          <w:szCs w:val="24"/>
        </w:rPr>
        <w:t xml:space="preserve"> Qiu et al. 2017</w:t>
      </w:r>
      <w:r w:rsidR="00CB66E5">
        <w:rPr>
          <w:sz w:val="24"/>
          <w:szCs w:val="24"/>
        </w:rPr>
        <w:t>;</w:t>
      </w:r>
      <w:r w:rsidRPr="00B415E3">
        <w:rPr>
          <w:sz w:val="24"/>
          <w:szCs w:val="24"/>
        </w:rPr>
        <w:t xml:space="preserve"> Shin et al. 2011), as compared to hedonic environments</w:t>
      </w:r>
      <w:r w:rsidR="00DA0B3D">
        <w:rPr>
          <w:sz w:val="24"/>
          <w:szCs w:val="24"/>
        </w:rPr>
        <w:t>,</w:t>
      </w:r>
      <w:r w:rsidRPr="00B415E3">
        <w:rPr>
          <w:sz w:val="24"/>
          <w:szCs w:val="24"/>
        </w:rPr>
        <w:t xml:space="preserve"> where each individual experiences joy isolated from the social environment. Thus, being able to identify successful social elements that incentivize continuance in HIS will </w:t>
      </w:r>
      <w:r w:rsidR="00AB2C23" w:rsidRPr="00B415E3">
        <w:rPr>
          <w:sz w:val="24"/>
          <w:szCs w:val="24"/>
        </w:rPr>
        <w:t>enhance our understanding of</w:t>
      </w:r>
      <w:r w:rsidRPr="00B415E3">
        <w:rPr>
          <w:sz w:val="24"/>
          <w:szCs w:val="24"/>
        </w:rPr>
        <w:t xml:space="preserve"> the social presence construct (Shen 2012</w:t>
      </w:r>
      <w:r w:rsidR="00CB66E5">
        <w:rPr>
          <w:sz w:val="24"/>
          <w:szCs w:val="24"/>
        </w:rPr>
        <w:t>;</w:t>
      </w:r>
      <w:r w:rsidRPr="00B415E3">
        <w:rPr>
          <w:sz w:val="24"/>
          <w:szCs w:val="24"/>
        </w:rPr>
        <w:t xml:space="preserve"> Zhou et al. 2014), </w:t>
      </w:r>
      <w:r w:rsidR="002F7F3D" w:rsidRPr="00B415E3">
        <w:rPr>
          <w:sz w:val="24"/>
          <w:szCs w:val="24"/>
        </w:rPr>
        <w:t>and will allow for capitalizing on the community element toward the much needed continued engagement (</w:t>
      </w:r>
      <w:r w:rsidR="002F7F3D" w:rsidRPr="00B415E3">
        <w:rPr>
          <w:sz w:val="24"/>
          <w:szCs w:val="24"/>
          <w:lang w:val="en-US"/>
        </w:rPr>
        <w:t>Kuem et al. 2020</w:t>
      </w:r>
      <w:r w:rsidR="00CB66E5">
        <w:rPr>
          <w:sz w:val="24"/>
          <w:szCs w:val="24"/>
          <w:lang w:val="en-US"/>
        </w:rPr>
        <w:t>;</w:t>
      </w:r>
      <w:r w:rsidR="002F7F3D" w:rsidRPr="00B415E3">
        <w:rPr>
          <w:sz w:val="24"/>
          <w:szCs w:val="24"/>
          <w:lang w:val="en-US"/>
        </w:rPr>
        <w:t xml:space="preserve"> </w:t>
      </w:r>
      <w:r w:rsidR="002F7F3D" w:rsidRPr="00B415E3">
        <w:rPr>
          <w:sz w:val="24"/>
          <w:szCs w:val="24"/>
        </w:rPr>
        <w:t>Ma et al. 2018</w:t>
      </w:r>
      <w:r w:rsidR="00CB66E5">
        <w:rPr>
          <w:sz w:val="24"/>
          <w:szCs w:val="24"/>
        </w:rPr>
        <w:t>;</w:t>
      </w:r>
      <w:r w:rsidR="00F37F64" w:rsidRPr="00B415E3">
        <w:rPr>
          <w:sz w:val="24"/>
          <w:szCs w:val="24"/>
        </w:rPr>
        <w:t xml:space="preserve"> </w:t>
      </w:r>
      <w:r w:rsidR="002F7F3D" w:rsidRPr="00B415E3">
        <w:rPr>
          <w:sz w:val="24"/>
          <w:szCs w:val="24"/>
        </w:rPr>
        <w:t>Sailer et al. 2017</w:t>
      </w:r>
      <w:r w:rsidR="00CB66E5">
        <w:rPr>
          <w:sz w:val="24"/>
          <w:szCs w:val="24"/>
        </w:rPr>
        <w:t>;</w:t>
      </w:r>
      <w:r w:rsidR="002F7F3D" w:rsidRPr="00B415E3">
        <w:rPr>
          <w:sz w:val="24"/>
          <w:szCs w:val="24"/>
        </w:rPr>
        <w:t xml:space="preserve"> Tseng et al. 2015).</w:t>
      </w:r>
    </w:p>
    <w:p w14:paraId="32B274B1" w14:textId="23178637" w:rsidR="0021652D" w:rsidRPr="00B415E3" w:rsidRDefault="001B2301">
      <w:pPr>
        <w:spacing w:line="480" w:lineRule="auto"/>
        <w:rPr>
          <w:sz w:val="24"/>
          <w:szCs w:val="24"/>
        </w:rPr>
      </w:pPr>
      <w:r w:rsidRPr="00B415E3">
        <w:rPr>
          <w:sz w:val="24"/>
          <w:szCs w:val="24"/>
        </w:rPr>
        <w:t>We respond to this call for establishing a clear relationship between social elements and HIS continuance (Chang et al. 2014</w:t>
      </w:r>
      <w:r w:rsidR="002E02E8">
        <w:rPr>
          <w:sz w:val="24"/>
          <w:szCs w:val="24"/>
        </w:rPr>
        <w:t>;</w:t>
      </w:r>
      <w:r w:rsidRPr="00B415E3">
        <w:rPr>
          <w:sz w:val="24"/>
          <w:szCs w:val="24"/>
        </w:rPr>
        <w:t xml:space="preserve"> Hsiao et al. 2012a, b</w:t>
      </w:r>
      <w:r w:rsidR="002E02E8">
        <w:rPr>
          <w:sz w:val="24"/>
          <w:szCs w:val="24"/>
        </w:rPr>
        <w:t>;</w:t>
      </w:r>
      <w:r w:rsidRPr="00B415E3">
        <w:rPr>
          <w:sz w:val="24"/>
          <w:szCs w:val="24"/>
        </w:rPr>
        <w:t xml:space="preserve"> Shen 2012</w:t>
      </w:r>
      <w:r w:rsidR="002E02E8">
        <w:rPr>
          <w:sz w:val="24"/>
          <w:szCs w:val="24"/>
        </w:rPr>
        <w:t>;</w:t>
      </w:r>
      <w:r w:rsidRPr="00B415E3">
        <w:rPr>
          <w:sz w:val="24"/>
          <w:szCs w:val="24"/>
        </w:rPr>
        <w:t xml:space="preserve"> Qiu et al. 2017</w:t>
      </w:r>
      <w:r w:rsidR="002E02E8">
        <w:rPr>
          <w:sz w:val="24"/>
          <w:szCs w:val="24"/>
        </w:rPr>
        <w:t>;</w:t>
      </w:r>
      <w:r w:rsidR="00AB2C23" w:rsidRPr="00B415E3">
        <w:rPr>
          <w:sz w:val="24"/>
          <w:szCs w:val="24"/>
        </w:rPr>
        <w:t xml:space="preserve"> </w:t>
      </w:r>
      <w:r w:rsidRPr="00B415E3">
        <w:rPr>
          <w:sz w:val="24"/>
          <w:szCs w:val="24"/>
        </w:rPr>
        <w:t xml:space="preserve">Zhou et al. 2014) by proposing a model </w:t>
      </w:r>
      <w:r w:rsidR="00CD3088">
        <w:rPr>
          <w:sz w:val="24"/>
          <w:szCs w:val="24"/>
        </w:rPr>
        <w:t>that</w:t>
      </w:r>
      <w:r w:rsidRPr="00B415E3">
        <w:rPr>
          <w:sz w:val="24"/>
          <w:szCs w:val="24"/>
        </w:rPr>
        <w:t xml:space="preserve"> combines elements from IS continuance and social comparison theories, applied in hedonic environments. The use of social elements and social information are the primary components associated with game interactions and have the potential to motivate players to satisfy particular psychological needs. The theoretical propositions of social influence theory help to disentangle the social elements in online gaming engagement (Shen, 2012; Lee et al. 2011; Song </w:t>
      </w:r>
      <w:r w:rsidRPr="00B415E3">
        <w:rPr>
          <w:sz w:val="24"/>
          <w:szCs w:val="24"/>
        </w:rPr>
        <w:lastRenderedPageBreak/>
        <w:t xml:space="preserve">et al. 2006). As Shen </w:t>
      </w:r>
      <w:r w:rsidR="00A44DE6">
        <w:rPr>
          <w:sz w:val="24"/>
          <w:szCs w:val="24"/>
        </w:rPr>
        <w:t>(</w:t>
      </w:r>
      <w:r w:rsidRPr="00B415E3">
        <w:rPr>
          <w:sz w:val="24"/>
          <w:szCs w:val="24"/>
        </w:rPr>
        <w:t>2012</w:t>
      </w:r>
      <w:r w:rsidR="00A44DE6">
        <w:rPr>
          <w:sz w:val="24"/>
          <w:szCs w:val="24"/>
        </w:rPr>
        <w:t>)</w:t>
      </w:r>
      <w:r w:rsidRPr="00B415E3">
        <w:rPr>
          <w:sz w:val="24"/>
          <w:szCs w:val="24"/>
        </w:rPr>
        <w:t xml:space="preserve"> states (pp. 202), “While social influence measures individual’s compliance with social norms under pressure, the tendency to social comparison factor operates through the internalization and identification mechanisms.” In online gaming, the internalization and identification of mechanisms include social comparisons about their game actions, accomplishments and performance.</w:t>
      </w:r>
    </w:p>
    <w:p w14:paraId="67F446AF" w14:textId="77777777" w:rsidR="0021652D" w:rsidRPr="00B415E3" w:rsidRDefault="001B2301">
      <w:pPr>
        <w:spacing w:line="480" w:lineRule="auto"/>
        <w:rPr>
          <w:sz w:val="24"/>
          <w:szCs w:val="24"/>
        </w:rPr>
      </w:pPr>
      <w:r w:rsidRPr="00B415E3">
        <w:rPr>
          <w:sz w:val="24"/>
          <w:szCs w:val="24"/>
        </w:rPr>
        <w:t>In order to understand the effects of social comparison elements on HIS continuance the present study seeks to explore two research pathways:</w:t>
      </w:r>
    </w:p>
    <w:p w14:paraId="214888C3" w14:textId="77777777" w:rsidR="0021652D" w:rsidRPr="00246A32" w:rsidRDefault="001B2301" w:rsidP="00457DA5">
      <w:pPr>
        <w:numPr>
          <w:ilvl w:val="0"/>
          <w:numId w:val="1"/>
        </w:numPr>
        <w:pBdr>
          <w:top w:val="nil"/>
          <w:left w:val="nil"/>
          <w:bottom w:val="nil"/>
          <w:right w:val="nil"/>
          <w:between w:val="nil"/>
        </w:pBdr>
        <w:spacing w:before="0" w:line="480" w:lineRule="auto"/>
        <w:rPr>
          <w:sz w:val="24"/>
          <w:szCs w:val="24"/>
        </w:rPr>
      </w:pPr>
      <w:r w:rsidRPr="00246A32">
        <w:rPr>
          <w:sz w:val="24"/>
          <w:szCs w:val="24"/>
        </w:rPr>
        <w:t>What are the relationships between individuals’ social comparison process and intention to continue using a HIS?</w:t>
      </w:r>
    </w:p>
    <w:p w14:paraId="71BEAFA8" w14:textId="377BB0B9" w:rsidR="00246A32" w:rsidRPr="00457DA5" w:rsidRDefault="001B2301" w:rsidP="00457DA5">
      <w:pPr>
        <w:numPr>
          <w:ilvl w:val="0"/>
          <w:numId w:val="1"/>
        </w:numPr>
        <w:pBdr>
          <w:top w:val="nil"/>
          <w:left w:val="nil"/>
          <w:bottom w:val="nil"/>
          <w:right w:val="nil"/>
          <w:between w:val="nil"/>
        </w:pBdr>
        <w:spacing w:before="0" w:line="480" w:lineRule="auto"/>
        <w:rPr>
          <w:sz w:val="24"/>
          <w:szCs w:val="24"/>
        </w:rPr>
      </w:pPr>
      <w:r w:rsidRPr="00246A32">
        <w:rPr>
          <w:sz w:val="24"/>
          <w:szCs w:val="24"/>
        </w:rPr>
        <w:t>How do the different social comparison processes influence perceived enjoyment and self-efficacy while using a HIS?</w:t>
      </w:r>
    </w:p>
    <w:p w14:paraId="788741F6" w14:textId="45BC0F1C" w:rsidR="00DD50FC" w:rsidRPr="006F70F3" w:rsidRDefault="001B2301">
      <w:pPr>
        <w:pBdr>
          <w:top w:val="nil"/>
          <w:left w:val="nil"/>
          <w:bottom w:val="nil"/>
          <w:right w:val="nil"/>
          <w:between w:val="nil"/>
        </w:pBdr>
        <w:spacing w:before="0" w:line="480" w:lineRule="auto"/>
        <w:rPr>
          <w:sz w:val="24"/>
          <w:szCs w:val="24"/>
        </w:rPr>
      </w:pPr>
      <w:r w:rsidRPr="00B415E3">
        <w:rPr>
          <w:sz w:val="24"/>
          <w:szCs w:val="24"/>
        </w:rPr>
        <w:t xml:space="preserve">As an instantiation of HIS, we use an online social game, where we conduct </w:t>
      </w:r>
      <w:r w:rsidR="0013377F">
        <w:rPr>
          <w:sz w:val="24"/>
          <w:szCs w:val="24"/>
        </w:rPr>
        <w:t xml:space="preserve">a </w:t>
      </w:r>
      <w:r w:rsidRPr="00B415E3">
        <w:rPr>
          <w:sz w:val="24"/>
          <w:szCs w:val="24"/>
        </w:rPr>
        <w:t>real-world data collection and we measure the players’ intention</w:t>
      </w:r>
      <w:r w:rsidR="0013377F">
        <w:rPr>
          <w:sz w:val="24"/>
          <w:szCs w:val="24"/>
        </w:rPr>
        <w:t xml:space="preserve"> </w:t>
      </w:r>
      <w:r w:rsidRPr="00B415E3">
        <w:rPr>
          <w:sz w:val="24"/>
          <w:szCs w:val="24"/>
        </w:rPr>
        <w:t xml:space="preserve">to continue playing, as well as their actual continuance. The latter helps us validate how self-reported intentions match actual behavioural choices. </w:t>
      </w:r>
      <w:r w:rsidR="006F70F3" w:rsidRPr="002D00FA">
        <w:rPr>
          <w:sz w:val="24"/>
          <w:szCs w:val="24"/>
        </w:rPr>
        <w:t xml:space="preserve">Our findings </w:t>
      </w:r>
      <w:r w:rsidR="0013377F">
        <w:rPr>
          <w:sz w:val="24"/>
          <w:szCs w:val="24"/>
        </w:rPr>
        <w:t>contribute</w:t>
      </w:r>
      <w:r w:rsidR="006F70F3" w:rsidRPr="002D00FA">
        <w:rPr>
          <w:sz w:val="24"/>
          <w:szCs w:val="24"/>
        </w:rPr>
        <w:t xml:space="preserve"> to the social HIS continuance literature (Chang et al. 2014</w:t>
      </w:r>
      <w:r w:rsidR="00106B54">
        <w:rPr>
          <w:sz w:val="24"/>
          <w:szCs w:val="24"/>
        </w:rPr>
        <w:t>;</w:t>
      </w:r>
      <w:r w:rsidR="006F70F3" w:rsidRPr="002D00FA">
        <w:rPr>
          <w:sz w:val="24"/>
          <w:szCs w:val="24"/>
        </w:rPr>
        <w:t xml:space="preserve"> Hsiao et al. 2012a, b</w:t>
      </w:r>
      <w:r w:rsidR="00106B54">
        <w:rPr>
          <w:sz w:val="24"/>
          <w:szCs w:val="24"/>
        </w:rPr>
        <w:t>;</w:t>
      </w:r>
      <w:r w:rsidR="006F70F3" w:rsidRPr="002D00FA">
        <w:rPr>
          <w:sz w:val="24"/>
          <w:szCs w:val="24"/>
        </w:rPr>
        <w:t xml:space="preserve"> Shen 2012</w:t>
      </w:r>
      <w:r w:rsidR="00106B54">
        <w:rPr>
          <w:sz w:val="24"/>
          <w:szCs w:val="24"/>
        </w:rPr>
        <w:t>;</w:t>
      </w:r>
      <w:r w:rsidR="006F70F3" w:rsidRPr="002D00FA">
        <w:rPr>
          <w:sz w:val="24"/>
          <w:szCs w:val="24"/>
        </w:rPr>
        <w:t xml:space="preserve"> Qiu et al. 2017</w:t>
      </w:r>
      <w:r w:rsidR="00106B54">
        <w:rPr>
          <w:sz w:val="24"/>
          <w:szCs w:val="24"/>
        </w:rPr>
        <w:t>;</w:t>
      </w:r>
      <w:r w:rsidR="006F70F3" w:rsidRPr="002D00FA">
        <w:rPr>
          <w:sz w:val="24"/>
          <w:szCs w:val="24"/>
        </w:rPr>
        <w:t xml:space="preserve"> Zhou et al. 2014) by delving deeper into the social presence construct and including the ‘social’ theoretical focus to continuance. Emphasising the ‘social’ enables us to more clearly articulate which social comparison directions can incentivize continuance.</w:t>
      </w:r>
      <w:r w:rsidR="006F70F3" w:rsidRPr="00B415E3">
        <w:rPr>
          <w:sz w:val="24"/>
          <w:szCs w:val="24"/>
        </w:rPr>
        <w:t xml:space="preserve"> Furthermore, our findings are contributing to the social HIS adoption discussion (Chang et al, 2006</w:t>
      </w:r>
      <w:r w:rsidR="00DC5AF6">
        <w:rPr>
          <w:sz w:val="24"/>
          <w:szCs w:val="24"/>
        </w:rPr>
        <w:t>;</w:t>
      </w:r>
      <w:r w:rsidR="006F70F3" w:rsidRPr="00B415E3">
        <w:rPr>
          <w:sz w:val="24"/>
          <w:szCs w:val="24"/>
        </w:rPr>
        <w:t xml:space="preserve"> Cheung et al. 2015), which shows that engagement and continuance are strongly correlated with adoption. Understanding these ‘social’ elements of continuance enables us to more clearly understand the right incentives for continuance, and how these can influence HIS adoption.</w:t>
      </w:r>
    </w:p>
    <w:p w14:paraId="45B84320" w14:textId="77777777" w:rsidR="0021652D" w:rsidRPr="00B415E3" w:rsidRDefault="001B2301">
      <w:pPr>
        <w:pStyle w:val="Heading1"/>
        <w:numPr>
          <w:ilvl w:val="0"/>
          <w:numId w:val="2"/>
        </w:numPr>
        <w:spacing w:line="480" w:lineRule="auto"/>
        <w:rPr>
          <w:color w:val="auto"/>
        </w:rPr>
      </w:pPr>
      <w:r w:rsidRPr="00B415E3">
        <w:rPr>
          <w:color w:val="auto"/>
        </w:rPr>
        <w:lastRenderedPageBreak/>
        <w:t>Theoretical foundations</w:t>
      </w:r>
    </w:p>
    <w:p w14:paraId="48F3FC64" w14:textId="77777777" w:rsidR="0021652D" w:rsidRPr="00B415E3" w:rsidRDefault="001B2301">
      <w:pPr>
        <w:spacing w:line="480" w:lineRule="auto"/>
        <w:rPr>
          <w:sz w:val="24"/>
          <w:szCs w:val="24"/>
        </w:rPr>
      </w:pPr>
      <w:r w:rsidRPr="00B415E3">
        <w:rPr>
          <w:sz w:val="24"/>
          <w:szCs w:val="24"/>
        </w:rPr>
        <w:t xml:space="preserve">We build our study around two theoretical lenses: social comparison theory, and social cognitive theory. We describe each theory in detail in the following sections. </w:t>
      </w:r>
    </w:p>
    <w:p w14:paraId="53265308" w14:textId="77777777" w:rsidR="0021652D" w:rsidRPr="00B415E3" w:rsidRDefault="001B2301">
      <w:pPr>
        <w:pStyle w:val="Heading2"/>
        <w:numPr>
          <w:ilvl w:val="1"/>
          <w:numId w:val="2"/>
        </w:numPr>
        <w:spacing w:line="480" w:lineRule="auto"/>
        <w:rPr>
          <w:color w:val="auto"/>
        </w:rPr>
      </w:pPr>
      <w:r w:rsidRPr="00B415E3">
        <w:rPr>
          <w:color w:val="auto"/>
        </w:rPr>
        <w:t xml:space="preserve">Social Comparison Theory </w:t>
      </w:r>
    </w:p>
    <w:p w14:paraId="004C376C" w14:textId="77777777" w:rsidR="0021652D" w:rsidRPr="00B415E3" w:rsidRDefault="001B2301">
      <w:pPr>
        <w:spacing w:line="480" w:lineRule="auto"/>
        <w:rPr>
          <w:sz w:val="24"/>
          <w:szCs w:val="24"/>
        </w:rPr>
      </w:pPr>
      <w:r w:rsidRPr="00B415E3">
        <w:rPr>
          <w:sz w:val="24"/>
          <w:szCs w:val="24"/>
        </w:rPr>
        <w:t>Originally formulated by Leon Festinger (1954), Social Comparison Theory (SCT) postulates that “people evaluate their opinions and abilities by comparison respectively with the opinions and abilities of others” (Festinger 1954, p. 118). The direction of such social comparisons has been a central part of the SCT, and Festinger (1954) suggested two directions: upward comparisons and downward comparisons. An upward comparison occurs when an individual compares himself/herself with others who are better off. A downward comparison occurs when an individual compares himself/herself with someone who is doing worse.</w:t>
      </w:r>
    </w:p>
    <w:p w14:paraId="06F6D1BA" w14:textId="4D51F30E" w:rsidR="0021652D" w:rsidRPr="00B415E3" w:rsidRDefault="001B2301">
      <w:pPr>
        <w:spacing w:line="480" w:lineRule="auto"/>
        <w:rPr>
          <w:sz w:val="24"/>
          <w:szCs w:val="24"/>
        </w:rPr>
      </w:pPr>
      <w:r w:rsidRPr="00B415E3">
        <w:rPr>
          <w:sz w:val="24"/>
          <w:szCs w:val="24"/>
        </w:rPr>
        <w:t>Building on Festinger’s (1954) seminar work, Buunk et al. (1997) present the social comparison identification-contrast model, which outlines that upward and downward comparisons produce either positive or negative feelings, depending on whether an individual identifies or contrasts themselves against a comparison target. Thus, social comparison provides two effects: identification and contrast (Buunk et al. 1997</w:t>
      </w:r>
      <w:r w:rsidR="00DC5AF6">
        <w:rPr>
          <w:sz w:val="24"/>
          <w:szCs w:val="24"/>
        </w:rPr>
        <w:t>;</w:t>
      </w:r>
      <w:r w:rsidRPr="00B415E3">
        <w:rPr>
          <w:sz w:val="24"/>
          <w:szCs w:val="24"/>
        </w:rPr>
        <w:t xml:space="preserve"> Van der Zee et al. 1999</w:t>
      </w:r>
      <w:r w:rsidR="00DC5AF6">
        <w:rPr>
          <w:sz w:val="24"/>
          <w:szCs w:val="24"/>
        </w:rPr>
        <w:t>;</w:t>
      </w:r>
      <w:r w:rsidRPr="00B415E3">
        <w:rPr>
          <w:sz w:val="24"/>
          <w:szCs w:val="24"/>
        </w:rPr>
        <w:t xml:space="preserve"> Carmona, et al. 2006). Primarily, identification refers to perceiving oneself similar and feeling connected with a comparison target, whereas contrast effect refers to perceiving oneself as different and more fortunate than the comparison target and distancing them self or even looking down on them. The identification-contrast process may not be mutually exclusive and can occur in parallel (Gibbons et al. 1999</w:t>
      </w:r>
      <w:r w:rsidR="00DC5AF6">
        <w:rPr>
          <w:sz w:val="24"/>
          <w:szCs w:val="24"/>
        </w:rPr>
        <w:t>;</w:t>
      </w:r>
      <w:r w:rsidRPr="00B415E3">
        <w:rPr>
          <w:sz w:val="24"/>
          <w:szCs w:val="24"/>
        </w:rPr>
        <w:t xml:space="preserve"> Mussweiller and Strack 2000). Social comparison processes can be classified into four </w:t>
      </w:r>
      <w:r w:rsidRPr="00B415E3">
        <w:rPr>
          <w:sz w:val="24"/>
          <w:szCs w:val="24"/>
        </w:rPr>
        <w:lastRenderedPageBreak/>
        <w:t xml:space="preserve">types, by crossing both direction of comparison (upward and downward) and effect (identification and contrast): upward identification, upward contrast, downward identification, and downward contrast. </w:t>
      </w:r>
    </w:p>
    <w:p w14:paraId="45D8757C" w14:textId="176DF613" w:rsidR="0021652D" w:rsidRPr="00B415E3" w:rsidRDefault="001B2301">
      <w:pPr>
        <w:spacing w:line="480" w:lineRule="auto"/>
        <w:rPr>
          <w:sz w:val="24"/>
          <w:szCs w:val="24"/>
        </w:rPr>
      </w:pPr>
      <w:r w:rsidRPr="00B415E3">
        <w:rPr>
          <w:sz w:val="24"/>
          <w:szCs w:val="24"/>
        </w:rPr>
        <w:t>Traditionally, upward identification is related with learning and growth, and it can be both inspiring and motivational (Taylor et al. 1989</w:t>
      </w:r>
      <w:r w:rsidR="00DC5AF6">
        <w:rPr>
          <w:sz w:val="24"/>
          <w:szCs w:val="24"/>
        </w:rPr>
        <w:t>;</w:t>
      </w:r>
      <w:r w:rsidRPr="00B415E3">
        <w:rPr>
          <w:sz w:val="24"/>
          <w:szCs w:val="24"/>
        </w:rPr>
        <w:t xml:space="preserve"> Collins 1996</w:t>
      </w:r>
      <w:r w:rsidR="00DC5AF6">
        <w:rPr>
          <w:sz w:val="24"/>
          <w:szCs w:val="24"/>
        </w:rPr>
        <w:t>;</w:t>
      </w:r>
      <w:r w:rsidRPr="00B415E3">
        <w:rPr>
          <w:sz w:val="24"/>
          <w:szCs w:val="24"/>
        </w:rPr>
        <w:t xml:space="preserve"> Lockwood et al. 1997</w:t>
      </w:r>
      <w:r w:rsidR="00DC5AF6">
        <w:rPr>
          <w:sz w:val="24"/>
          <w:szCs w:val="24"/>
        </w:rPr>
        <w:t>;</w:t>
      </w:r>
      <w:r w:rsidRPr="00B415E3">
        <w:rPr>
          <w:sz w:val="24"/>
          <w:szCs w:val="24"/>
        </w:rPr>
        <w:t xml:space="preserve"> Buunk et al. 2007). For instance, a study by Van der Zee et al. (2000) among cancer patients showed that upward identification is positively associated with direct coping strategies. Also, some studies among elderly people found that upward identification is positively associated with life satisfaction (Frieswijk et al. 2004</w:t>
      </w:r>
      <w:r w:rsidR="00DC5AF6">
        <w:rPr>
          <w:sz w:val="24"/>
          <w:szCs w:val="24"/>
        </w:rPr>
        <w:t>;</w:t>
      </w:r>
      <w:r w:rsidRPr="00B415E3">
        <w:rPr>
          <w:sz w:val="24"/>
          <w:szCs w:val="24"/>
        </w:rPr>
        <w:t xml:space="preserve"> Beaumont et al. 2004). On the contrary, downward identification can produce negative feelings such as anxiety and self-doubt (Markus et al. 1986), burnout (Buunk et al. 2001) and is often related to low performance among students (Buunk et al. 2005). The reason behind such negative feelings is that individuals perceive themselves as similar to comparison targets who are worse off, they engender thoughts that one could end up like the comparison target (Mussweiler and Strack 2000</w:t>
      </w:r>
      <w:r w:rsidR="00DC5AF6">
        <w:rPr>
          <w:sz w:val="24"/>
          <w:szCs w:val="24"/>
        </w:rPr>
        <w:t>;</w:t>
      </w:r>
      <w:r w:rsidRPr="00B415E3">
        <w:rPr>
          <w:sz w:val="24"/>
          <w:szCs w:val="24"/>
        </w:rPr>
        <w:t xml:space="preserve"> Smith 2000</w:t>
      </w:r>
      <w:r w:rsidR="00DC5AF6">
        <w:rPr>
          <w:sz w:val="24"/>
          <w:szCs w:val="24"/>
        </w:rPr>
        <w:t>;</w:t>
      </w:r>
      <w:r w:rsidRPr="00B415E3">
        <w:rPr>
          <w:sz w:val="24"/>
          <w:szCs w:val="24"/>
        </w:rPr>
        <w:t xml:space="preserve"> Van der Zee et al. 2000</w:t>
      </w:r>
      <w:r w:rsidR="00DC5AF6">
        <w:rPr>
          <w:sz w:val="24"/>
          <w:szCs w:val="24"/>
        </w:rPr>
        <w:t>;</w:t>
      </w:r>
      <w:r w:rsidRPr="00B415E3">
        <w:rPr>
          <w:sz w:val="24"/>
          <w:szCs w:val="24"/>
        </w:rPr>
        <w:t xml:space="preserve"> Kemmelmeier et al. 2001</w:t>
      </w:r>
      <w:r w:rsidR="00DC5AF6">
        <w:rPr>
          <w:sz w:val="24"/>
          <w:szCs w:val="24"/>
        </w:rPr>
        <w:t>;</w:t>
      </w:r>
      <w:r w:rsidRPr="00B415E3">
        <w:rPr>
          <w:sz w:val="24"/>
          <w:szCs w:val="24"/>
        </w:rPr>
        <w:t xml:space="preserve"> Buunk et al. 2005). </w:t>
      </w:r>
    </w:p>
    <w:p w14:paraId="1C1FDEA5" w14:textId="2CE95B97" w:rsidR="0021652D" w:rsidRPr="00B415E3" w:rsidRDefault="001B2301">
      <w:pPr>
        <w:spacing w:line="480" w:lineRule="auto"/>
        <w:rPr>
          <w:sz w:val="24"/>
          <w:szCs w:val="24"/>
        </w:rPr>
      </w:pPr>
      <w:r w:rsidRPr="00B415E3">
        <w:rPr>
          <w:sz w:val="24"/>
          <w:szCs w:val="24"/>
        </w:rPr>
        <w:t>Regarding contrast comparison effects, the opposite holds. While upward contrast is associated with reduced sense of personal accomplishment and self-efficacy, downward contrast is associated with positive effects on self-esteem, sense of control and capability (Greenberg et al. 2007</w:t>
      </w:r>
      <w:r w:rsidR="00DC5AF6">
        <w:rPr>
          <w:sz w:val="24"/>
          <w:szCs w:val="24"/>
        </w:rPr>
        <w:t>;</w:t>
      </w:r>
      <w:r w:rsidRPr="00B415E3">
        <w:rPr>
          <w:sz w:val="24"/>
          <w:szCs w:val="24"/>
        </w:rPr>
        <w:t xml:space="preserve"> Moore 2007</w:t>
      </w:r>
      <w:r w:rsidR="00DC5AF6">
        <w:rPr>
          <w:sz w:val="24"/>
          <w:szCs w:val="24"/>
        </w:rPr>
        <w:t>;</w:t>
      </w:r>
      <w:r w:rsidRPr="00B415E3">
        <w:rPr>
          <w:sz w:val="24"/>
          <w:szCs w:val="24"/>
        </w:rPr>
        <w:t xml:space="preserve"> Stewart et al. 2013). For instance, upward contrast has been negatively associated with treatment adherence among people living with HIV infection (Bogart et al. 2002) and linked to feelings of envy in work teams (Lam et al. 2011).</w:t>
      </w:r>
    </w:p>
    <w:p w14:paraId="0DAD2AE0" w14:textId="77777777" w:rsidR="0021652D" w:rsidRPr="00B415E3" w:rsidRDefault="001B2301">
      <w:pPr>
        <w:spacing w:line="480" w:lineRule="auto"/>
        <w:rPr>
          <w:sz w:val="24"/>
          <w:szCs w:val="24"/>
        </w:rPr>
      </w:pPr>
      <w:r w:rsidRPr="00B415E3">
        <w:rPr>
          <w:sz w:val="24"/>
          <w:szCs w:val="24"/>
        </w:rPr>
        <w:lastRenderedPageBreak/>
        <w:t xml:space="preserve">Social comparisons may be especially manifested in circumstances that are ambiguous or where success is highly appreciated (Buunk and Mussweiler 2001; Suls et al. 2002). Inducing individuals to rely more on comparisons when processing information allows them to be more efficient in making a critical series of judgments (Keil et al. 2006). Also, learning through social comparison processes is ubiquitous because it allows individuals to process information in a more efficient manner than more absolute modes of information processing (Mussweiler and Epstude 2009; Corcoran et al. 2011). Furthermore, the context determines the ways individuals react to social comparison information (Brewer et al. 1994; Buunk et al. 1997; Schmitt et al. 2000; Arigo et al. 2014). </w:t>
      </w:r>
    </w:p>
    <w:p w14:paraId="47527910" w14:textId="59916457" w:rsidR="0021652D" w:rsidRPr="00B415E3" w:rsidRDefault="001B2301">
      <w:pPr>
        <w:spacing w:line="480" w:lineRule="auto"/>
        <w:rPr>
          <w:sz w:val="24"/>
          <w:szCs w:val="24"/>
        </w:rPr>
      </w:pPr>
      <w:r w:rsidRPr="00B415E3">
        <w:rPr>
          <w:sz w:val="24"/>
          <w:szCs w:val="24"/>
        </w:rPr>
        <w:t>The social comparison theory has been researched and applied in a variety of domains such as school choice (Hannon 2018), identification of group movement trajectories via video data (Zhang et al. 2018), formality of feedback in MOOCs (Choi et al. 2019), quitting smoking (Maramis et al. 2019), changing one’s body image (Fisher et al. 2002), incentivizing energy savings (Petkov et al. 2011), assessing health risk perception (Zell et al 2013).  The most substantial body of literature on social comparison focuses on environments coping with disease or pain (Buunk et al. 1997; Myers et al. 2009; Tennen et al. 2000), such as cancer (Van der Zee et al. 1999; Van der Zee et al. 2000), fibromyalgia (Cabrera-Perona et al. 2017), burnout (Buunk et al, 2004;</w:t>
      </w:r>
      <w:r w:rsidRPr="00B415E3">
        <w:rPr>
          <w:sz w:val="20"/>
          <w:szCs w:val="20"/>
        </w:rPr>
        <w:t xml:space="preserve"> </w:t>
      </w:r>
      <w:r w:rsidRPr="00B415E3">
        <w:rPr>
          <w:sz w:val="24"/>
          <w:szCs w:val="24"/>
        </w:rPr>
        <w:t>Carmona et al. 2006) or other chronic pain disorders (Affleck et al. 1997</w:t>
      </w:r>
      <w:r w:rsidR="00143C13">
        <w:rPr>
          <w:sz w:val="24"/>
          <w:szCs w:val="24"/>
        </w:rPr>
        <w:t>;</w:t>
      </w:r>
      <w:r w:rsidRPr="00B415E3">
        <w:rPr>
          <w:sz w:val="24"/>
          <w:szCs w:val="24"/>
        </w:rPr>
        <w:t xml:space="preserve"> Arigo et al. 2014). However, there is scant knowledge about the effects of social comparison processes in hedonic information systems (Liu 2016), and more specifically in online social games, as shown as well in the 60-year meta-analysis presented by Gerber et al. (2018). </w:t>
      </w:r>
    </w:p>
    <w:p w14:paraId="41FB42AA" w14:textId="28E0832F" w:rsidR="0021652D" w:rsidRPr="00B415E3" w:rsidRDefault="001B2301">
      <w:pPr>
        <w:spacing w:line="480" w:lineRule="auto"/>
        <w:rPr>
          <w:sz w:val="24"/>
          <w:szCs w:val="24"/>
        </w:rPr>
      </w:pPr>
      <w:bookmarkStart w:id="3" w:name="_heading=h.30j0zll" w:colFirst="0" w:colLast="0"/>
      <w:bookmarkEnd w:id="3"/>
      <w:r w:rsidRPr="00B415E3">
        <w:rPr>
          <w:sz w:val="24"/>
          <w:szCs w:val="24"/>
        </w:rPr>
        <w:t xml:space="preserve">The environment in which social comparison theory is adopted plays a role in the final outcome of the intervention. For example, it has been shown that environments that promote competition </w:t>
      </w:r>
      <w:r w:rsidRPr="00B415E3">
        <w:rPr>
          <w:sz w:val="24"/>
          <w:szCs w:val="24"/>
        </w:rPr>
        <w:lastRenderedPageBreak/>
        <w:t>facilitate the occurrence of contrast effects, whereas environments that promote cooperation are more inclined to produce identification effects (Beach et al. 2000</w:t>
      </w:r>
      <w:r w:rsidR="00143C13">
        <w:rPr>
          <w:sz w:val="24"/>
          <w:szCs w:val="24"/>
        </w:rPr>
        <w:t>;</w:t>
      </w:r>
      <w:r w:rsidRPr="00B415E3">
        <w:rPr>
          <w:sz w:val="24"/>
          <w:szCs w:val="24"/>
        </w:rPr>
        <w:t xml:space="preserve"> Stapel et al. 2005).  Despite the increasing popularity of online social games, relatively little research has examined the behaviour of online game playing (Yee 2006). Recent studies (e.g., Yee 2006</w:t>
      </w:r>
      <w:r w:rsidR="00A21F55">
        <w:rPr>
          <w:sz w:val="24"/>
          <w:szCs w:val="24"/>
        </w:rPr>
        <w:t>;</w:t>
      </w:r>
      <w:r w:rsidRPr="00B415E3">
        <w:rPr>
          <w:sz w:val="24"/>
          <w:szCs w:val="24"/>
        </w:rPr>
        <w:t xml:space="preserve"> Kawale et al. 2009</w:t>
      </w:r>
      <w:r w:rsidR="00A21F55">
        <w:rPr>
          <w:sz w:val="24"/>
          <w:szCs w:val="24"/>
        </w:rPr>
        <w:t>;</w:t>
      </w:r>
      <w:r w:rsidRPr="00B415E3">
        <w:rPr>
          <w:sz w:val="24"/>
          <w:szCs w:val="24"/>
        </w:rPr>
        <w:t xml:space="preserve"> Wu et al. 2010</w:t>
      </w:r>
      <w:r w:rsidR="00A21F55">
        <w:rPr>
          <w:sz w:val="24"/>
          <w:szCs w:val="24"/>
        </w:rPr>
        <w:t>;</w:t>
      </w:r>
      <w:r w:rsidRPr="00B415E3">
        <w:rPr>
          <w:sz w:val="24"/>
          <w:szCs w:val="24"/>
        </w:rPr>
        <w:t xml:space="preserve"> Fuster et al. 2013</w:t>
      </w:r>
      <w:r w:rsidR="00A21F55">
        <w:rPr>
          <w:sz w:val="24"/>
          <w:szCs w:val="24"/>
        </w:rPr>
        <w:t>;</w:t>
      </w:r>
      <w:r w:rsidRPr="00B415E3">
        <w:rPr>
          <w:sz w:val="24"/>
          <w:szCs w:val="24"/>
        </w:rPr>
        <w:t xml:space="preserve"> Hamari et al. 2014) have identified socialization as one the main motivations for playing online games and retention, but not always socialization has a positive impact in player retention. For example, Shores et al. (2014) showed that game interactions such as interacting with toxic players have negative impacts on retention in </w:t>
      </w:r>
      <w:r w:rsidRPr="00B415E3">
        <w:rPr>
          <w:i/>
          <w:sz w:val="24"/>
          <w:szCs w:val="24"/>
        </w:rPr>
        <w:t>League of Legends</w:t>
      </w:r>
      <w:r w:rsidRPr="00B415E3">
        <w:rPr>
          <w:sz w:val="24"/>
          <w:szCs w:val="24"/>
        </w:rPr>
        <w:t xml:space="preserve"> multiplayer video games. In this study, we examine the effects of socialization by delving deeper into the directions of social comparison theory that can induce continuance in social hedonic environments, such as online social games, where joy and fun are the main objectives.</w:t>
      </w:r>
    </w:p>
    <w:p w14:paraId="5F394427" w14:textId="380B7CE2" w:rsidR="0021652D" w:rsidRPr="00B415E3" w:rsidRDefault="001B2301">
      <w:pPr>
        <w:spacing w:line="480" w:lineRule="auto"/>
        <w:rPr>
          <w:sz w:val="24"/>
          <w:szCs w:val="24"/>
        </w:rPr>
      </w:pPr>
      <w:r w:rsidRPr="00B415E3">
        <w:rPr>
          <w:sz w:val="24"/>
          <w:szCs w:val="24"/>
        </w:rPr>
        <w:t xml:space="preserve">The explosive growth of social media technologies has greatly facilitated the sharing of social information and the user’s online social context. A user’s social context refers to the network of people who provide him/her with relevant information (Xu et al. 2011). Thus, in order to motivate and engage users, social network platforms (e.g., </w:t>
      </w:r>
      <w:r w:rsidRPr="00B415E3">
        <w:rPr>
          <w:i/>
          <w:sz w:val="24"/>
          <w:szCs w:val="24"/>
        </w:rPr>
        <w:t>Facebook, Foursquare, Instagram, Linkedin or Twitter</w:t>
      </w:r>
      <w:r w:rsidRPr="00B415E3">
        <w:rPr>
          <w:sz w:val="24"/>
          <w:szCs w:val="24"/>
        </w:rPr>
        <w:t>), video games, Enterprise Resource Planning (ERP) systems, CRM applications (e.g., social CRM) and mobile apps are starting to draw on and exploit this social information and built in elements of social comparison. Most software applications like mobile apps are implementing social elements to engage users. These elements emphasize the degree to which individuals compare themselves to others, and their perception of somehow faring better or worse (e.g., Festinger 1954</w:t>
      </w:r>
      <w:r w:rsidR="00AD749C">
        <w:rPr>
          <w:sz w:val="24"/>
          <w:szCs w:val="24"/>
        </w:rPr>
        <w:t>;</w:t>
      </w:r>
      <w:r w:rsidRPr="00B415E3">
        <w:rPr>
          <w:sz w:val="24"/>
          <w:szCs w:val="24"/>
        </w:rPr>
        <w:t xml:space="preserve"> Wood 1989</w:t>
      </w:r>
      <w:r w:rsidR="00AD749C">
        <w:rPr>
          <w:sz w:val="24"/>
          <w:szCs w:val="24"/>
        </w:rPr>
        <w:t>;</w:t>
      </w:r>
      <w:r w:rsidRPr="00B415E3">
        <w:rPr>
          <w:sz w:val="24"/>
          <w:szCs w:val="24"/>
        </w:rPr>
        <w:t xml:space="preserve"> Shen 2012). By comparing themselves to others, individuals get information that they can use to assess, verify, and motivate efforts to improve themselves (Taylor </w:t>
      </w:r>
      <w:r w:rsidRPr="00B415E3">
        <w:rPr>
          <w:sz w:val="24"/>
          <w:szCs w:val="24"/>
        </w:rPr>
        <w:lastRenderedPageBreak/>
        <w:t>et al. 1989</w:t>
      </w:r>
      <w:r w:rsidR="00AD749C">
        <w:rPr>
          <w:sz w:val="24"/>
          <w:szCs w:val="24"/>
        </w:rPr>
        <w:t>;</w:t>
      </w:r>
      <w:r w:rsidRPr="00B415E3">
        <w:rPr>
          <w:sz w:val="24"/>
          <w:szCs w:val="24"/>
        </w:rPr>
        <w:t xml:space="preserve"> Gibbons and Buunk 1999). Most social comparison processes occur implicitly, without the subjects being consciously aware of them (Gilbert et al. 1995</w:t>
      </w:r>
      <w:r w:rsidR="00AD749C">
        <w:rPr>
          <w:sz w:val="24"/>
          <w:szCs w:val="24"/>
        </w:rPr>
        <w:t>;</w:t>
      </w:r>
      <w:r w:rsidRPr="00B415E3">
        <w:rPr>
          <w:sz w:val="24"/>
          <w:szCs w:val="24"/>
        </w:rPr>
        <w:t xml:space="preserve"> Mussweiler et al. 2004).</w:t>
      </w:r>
    </w:p>
    <w:p w14:paraId="32F8888D" w14:textId="57F24734" w:rsidR="0021652D" w:rsidRPr="00B415E3" w:rsidRDefault="001B2301">
      <w:pPr>
        <w:spacing w:line="480" w:lineRule="auto"/>
      </w:pPr>
      <w:r w:rsidRPr="00B415E3">
        <w:rPr>
          <w:sz w:val="24"/>
          <w:szCs w:val="24"/>
        </w:rPr>
        <w:t>The direction of the social comparison, i.e., whether an individual compares them self to a better-off or worse-off target, is a central element of this work. Typically, cognitive motivations (self-evaluation or self-improvement) drive upward comparisons and in contrast, affective motivations (e.g., in order to feel better about oneself, self-enhancement) drive downward comparisons (Hakmiller 1966</w:t>
      </w:r>
      <w:r w:rsidR="00AD749C">
        <w:rPr>
          <w:sz w:val="24"/>
          <w:szCs w:val="24"/>
        </w:rPr>
        <w:t>;</w:t>
      </w:r>
      <w:r w:rsidRPr="00B415E3">
        <w:rPr>
          <w:sz w:val="24"/>
          <w:szCs w:val="24"/>
        </w:rPr>
        <w:t xml:space="preserve"> Wheeler 1966</w:t>
      </w:r>
      <w:r w:rsidR="00AD749C">
        <w:rPr>
          <w:sz w:val="24"/>
          <w:szCs w:val="24"/>
        </w:rPr>
        <w:t>;</w:t>
      </w:r>
      <w:r w:rsidRPr="00B415E3">
        <w:rPr>
          <w:sz w:val="24"/>
          <w:szCs w:val="24"/>
        </w:rPr>
        <w:t xml:space="preserve"> Wills 1981</w:t>
      </w:r>
      <w:r w:rsidR="00AD749C">
        <w:rPr>
          <w:sz w:val="24"/>
          <w:szCs w:val="24"/>
        </w:rPr>
        <w:t>;</w:t>
      </w:r>
      <w:r w:rsidRPr="00B415E3">
        <w:rPr>
          <w:sz w:val="24"/>
          <w:szCs w:val="24"/>
        </w:rPr>
        <w:t xml:space="preserve"> Lockwood et al. 1997</w:t>
      </w:r>
      <w:r w:rsidR="00AD749C">
        <w:rPr>
          <w:sz w:val="24"/>
          <w:szCs w:val="24"/>
        </w:rPr>
        <w:t>;</w:t>
      </w:r>
      <w:r w:rsidRPr="00B415E3">
        <w:rPr>
          <w:sz w:val="24"/>
          <w:szCs w:val="24"/>
        </w:rPr>
        <w:t xml:space="preserve"> Buunk et al. 2007</w:t>
      </w:r>
      <w:r w:rsidR="00AD749C">
        <w:rPr>
          <w:sz w:val="24"/>
          <w:szCs w:val="24"/>
        </w:rPr>
        <w:t>;</w:t>
      </w:r>
      <w:r w:rsidRPr="00B415E3">
        <w:rPr>
          <w:sz w:val="24"/>
          <w:szCs w:val="24"/>
        </w:rPr>
        <w:t xml:space="preserve"> Corcoran et al. 2011). </w:t>
      </w:r>
    </w:p>
    <w:p w14:paraId="039B50C8" w14:textId="77777777" w:rsidR="0021652D" w:rsidRPr="00B415E3" w:rsidRDefault="001B2301">
      <w:pPr>
        <w:pStyle w:val="Heading2"/>
        <w:numPr>
          <w:ilvl w:val="1"/>
          <w:numId w:val="2"/>
        </w:numPr>
        <w:spacing w:line="480" w:lineRule="auto"/>
        <w:rPr>
          <w:color w:val="auto"/>
        </w:rPr>
      </w:pPr>
      <w:r w:rsidRPr="00B415E3">
        <w:rPr>
          <w:color w:val="auto"/>
        </w:rPr>
        <w:t>Self-efficacy Theory</w:t>
      </w:r>
    </w:p>
    <w:p w14:paraId="7876CE09" w14:textId="77777777" w:rsidR="0021652D" w:rsidRPr="00B415E3" w:rsidRDefault="001B2301">
      <w:pPr>
        <w:spacing w:line="480" w:lineRule="auto"/>
        <w:rPr>
          <w:sz w:val="24"/>
          <w:szCs w:val="24"/>
        </w:rPr>
      </w:pPr>
      <w:r w:rsidRPr="00B415E3">
        <w:rPr>
          <w:sz w:val="24"/>
          <w:szCs w:val="24"/>
        </w:rPr>
        <w:t xml:space="preserve">In his social cognitive theory of personality, Bandura (1977) incorporated the concept of self-efficacy, which is defined as a belief that an individual has in his/her own ability to meet situational demands or perform tasks. Self-efficacy is developed and maintained by four primary sources of influence (Bandura 1986): enactive mastery experiences (personal performance accomplishments), social persuasion (support or not support one receives from significant others for engaging in particular activities), vicarious experiences (observation of other people’s performance attainments), and physiological and affective states (emotional and physical reactions to personal experiences). In this study, we focus on social comparison processes as elements of mastery experiences, vicarious experiences and social persuasion (Bandura 1986). </w:t>
      </w:r>
    </w:p>
    <w:p w14:paraId="00CB371E" w14:textId="3BD78D3D" w:rsidR="0021652D" w:rsidRPr="00B415E3" w:rsidRDefault="001B2301">
      <w:pPr>
        <w:spacing w:line="480" w:lineRule="auto"/>
        <w:rPr>
          <w:sz w:val="24"/>
          <w:szCs w:val="24"/>
        </w:rPr>
      </w:pPr>
      <w:r w:rsidRPr="00B415E3">
        <w:rPr>
          <w:sz w:val="24"/>
          <w:szCs w:val="24"/>
        </w:rPr>
        <w:t>Self-efficacy is domain and task-specific and it should be thought of and evaluated in terms of specific constructs (Bandura 1977</w:t>
      </w:r>
      <w:r w:rsidR="00AD749C">
        <w:rPr>
          <w:sz w:val="24"/>
          <w:szCs w:val="24"/>
        </w:rPr>
        <w:t>;</w:t>
      </w:r>
      <w:r w:rsidRPr="00B415E3">
        <w:rPr>
          <w:sz w:val="24"/>
          <w:szCs w:val="24"/>
        </w:rPr>
        <w:t xml:space="preserve"> Bandura and Locke 2003). The self-efficacy theory has been applied in contexts such as career assessment (Betz 2000, 2004), leadership within organizations </w:t>
      </w:r>
      <w:r w:rsidRPr="00B415E3">
        <w:rPr>
          <w:sz w:val="24"/>
          <w:szCs w:val="24"/>
        </w:rPr>
        <w:lastRenderedPageBreak/>
        <w:t>(McCormick et al. 2002), educational environments (Shea et al. 2010, Schunk et al. 2016, Joo et al. 2000), posttraumatic recovery (Benight et al. 2004), nutrition behaviour (Anderson et al. 2007), performance in online environments (Hsu et al. 2004), entrepreneurial environments (McGee et al. 2009). There is very limited work on applying the self-efficacy theory on online social games, hence, in this study we are filling this void. We are building on literature focusing on video games (Gentile et al. 2007</w:t>
      </w:r>
      <w:r w:rsidR="00AD749C">
        <w:rPr>
          <w:sz w:val="24"/>
          <w:szCs w:val="24"/>
        </w:rPr>
        <w:t>;</w:t>
      </w:r>
      <w:r w:rsidRPr="00B415E3">
        <w:rPr>
          <w:sz w:val="24"/>
          <w:szCs w:val="24"/>
        </w:rPr>
        <w:t xml:space="preserve"> Mayo 2009</w:t>
      </w:r>
      <w:r w:rsidR="00AD749C">
        <w:rPr>
          <w:sz w:val="24"/>
          <w:szCs w:val="24"/>
        </w:rPr>
        <w:t>;</w:t>
      </w:r>
      <w:r w:rsidRPr="00B415E3">
        <w:rPr>
          <w:sz w:val="24"/>
          <w:szCs w:val="24"/>
        </w:rPr>
        <w:t xml:space="preserve"> Pavlas et al. 2010), without an online social character, based on which gaming self-efficacy is defined as a belief that one holds in his/her ability to successfully play online games or to complete tasks in an online game context (Pavlas et al. 2010). Bandura (1981), in his theory of self-efficacy, suggested that social comparison information is important in the development of self-efficacy beliefs, therefore, in this work we use social comparison theory as an antecedent of self-efficacy theory. In addition, self-efficacy has been associated with continuance in environments such as online banking (Maduku 2016), social networking sites (Wang et al. (2015), as well as online health communities (Jehad et al. 2020). Hence, we assume that self-efficacy will have a relationship with continuance in online social games, as well.</w:t>
      </w:r>
    </w:p>
    <w:p w14:paraId="0F0E3984" w14:textId="77777777" w:rsidR="0021652D" w:rsidRPr="00B415E3" w:rsidRDefault="001B2301">
      <w:pPr>
        <w:pStyle w:val="Heading2"/>
        <w:numPr>
          <w:ilvl w:val="1"/>
          <w:numId w:val="2"/>
        </w:numPr>
        <w:spacing w:line="480" w:lineRule="auto"/>
        <w:rPr>
          <w:color w:val="auto"/>
        </w:rPr>
      </w:pPr>
      <w:r w:rsidRPr="00B415E3">
        <w:rPr>
          <w:color w:val="auto"/>
        </w:rPr>
        <w:t>Perceived Enjoyment</w:t>
      </w:r>
    </w:p>
    <w:p w14:paraId="2FC13899" w14:textId="16638B8F" w:rsidR="0021652D" w:rsidRPr="00B415E3" w:rsidRDefault="001B2301">
      <w:pPr>
        <w:spacing w:line="480" w:lineRule="auto"/>
        <w:rPr>
          <w:sz w:val="24"/>
          <w:szCs w:val="24"/>
        </w:rPr>
      </w:pPr>
      <w:r w:rsidRPr="00B415E3">
        <w:rPr>
          <w:sz w:val="24"/>
          <w:szCs w:val="24"/>
        </w:rPr>
        <w:t>In IS literature, Perceived Enjoyment (PE) is conceived as “the extent to which the activity of using the computer is perceived to be enjoyable in its own right, apart from any performance consequences that may be anticipated” (Davis et al. 1992, p. 1113). This has led to the notion that PE is an intrinsic motivational driver (Davis et al. 1992</w:t>
      </w:r>
      <w:r w:rsidR="00AD749C">
        <w:rPr>
          <w:sz w:val="24"/>
          <w:szCs w:val="24"/>
        </w:rPr>
        <w:t>;</w:t>
      </w:r>
      <w:r w:rsidRPr="00B415E3">
        <w:rPr>
          <w:sz w:val="24"/>
          <w:szCs w:val="24"/>
        </w:rPr>
        <w:t xml:space="preserve"> Venkatesh 2000</w:t>
      </w:r>
      <w:r w:rsidR="00AD749C">
        <w:rPr>
          <w:sz w:val="24"/>
          <w:szCs w:val="24"/>
        </w:rPr>
        <w:t>;</w:t>
      </w:r>
      <w:r w:rsidRPr="00B415E3">
        <w:rPr>
          <w:sz w:val="24"/>
          <w:szCs w:val="24"/>
        </w:rPr>
        <w:t xml:space="preserve"> Lee et al. 2005). In the present study, we define player PE as the extent to which the activity of playing online social games is perceived to be pleasant, enjoyable and fun. Many researchers (e.g., Van der Heijden 2004</w:t>
      </w:r>
      <w:r w:rsidR="00AD749C">
        <w:rPr>
          <w:sz w:val="24"/>
          <w:szCs w:val="24"/>
        </w:rPr>
        <w:t>;</w:t>
      </w:r>
      <w:r w:rsidRPr="00B415E3">
        <w:rPr>
          <w:sz w:val="24"/>
          <w:szCs w:val="24"/>
        </w:rPr>
        <w:t xml:space="preserve"> Sherlock 2007</w:t>
      </w:r>
      <w:r w:rsidR="00AD749C">
        <w:rPr>
          <w:sz w:val="24"/>
          <w:szCs w:val="24"/>
        </w:rPr>
        <w:t>;</w:t>
      </w:r>
      <w:r w:rsidRPr="00B415E3">
        <w:rPr>
          <w:sz w:val="24"/>
          <w:szCs w:val="24"/>
        </w:rPr>
        <w:t xml:space="preserve"> Wu and Li 2007</w:t>
      </w:r>
      <w:r w:rsidR="00AD749C">
        <w:rPr>
          <w:sz w:val="24"/>
          <w:szCs w:val="24"/>
        </w:rPr>
        <w:t>;</w:t>
      </w:r>
      <w:r w:rsidRPr="00B415E3">
        <w:rPr>
          <w:sz w:val="24"/>
          <w:szCs w:val="24"/>
        </w:rPr>
        <w:t xml:space="preserve"> Lee et al. 2013</w:t>
      </w:r>
      <w:r w:rsidR="00AD749C">
        <w:rPr>
          <w:sz w:val="24"/>
          <w:szCs w:val="24"/>
        </w:rPr>
        <w:t>;</w:t>
      </w:r>
      <w:r w:rsidRPr="00B415E3">
        <w:rPr>
          <w:sz w:val="24"/>
          <w:szCs w:val="24"/>
        </w:rPr>
        <w:t xml:space="preserve"> Alzahrani et al. 2017) already established </w:t>
      </w:r>
      <w:r w:rsidRPr="00B415E3">
        <w:rPr>
          <w:sz w:val="24"/>
          <w:szCs w:val="24"/>
        </w:rPr>
        <w:lastRenderedPageBreak/>
        <w:t xml:space="preserve">that PE is a crucial intrinsic motivational driver for playing an online game. Online social gaming is a voluntary and hedonic activity, and people play online games by anticipating a pleasant and enjoyable experience (Choi et al. 2004). Similarly, Hsu and Lu (2007) argued that the main motivation for participation in online gaming communities is for entertainment, fun and pleasure, not to achieve specific goals nor enhance performance. Thus, in the Technology Acceptance Model they replaced perceived usefulness with PE, to explain the continuance intention to play online games. </w:t>
      </w:r>
    </w:p>
    <w:p w14:paraId="22A51B0A" w14:textId="4E255372" w:rsidR="0021652D" w:rsidRPr="00B415E3" w:rsidRDefault="001B2301">
      <w:pPr>
        <w:spacing w:line="480" w:lineRule="auto"/>
        <w:rPr>
          <w:sz w:val="24"/>
          <w:szCs w:val="24"/>
        </w:rPr>
      </w:pPr>
      <w:r w:rsidRPr="00B415E3">
        <w:rPr>
          <w:sz w:val="24"/>
          <w:szCs w:val="24"/>
        </w:rPr>
        <w:t>Additionally, because experiences determine expectations (Bandura 1997</w:t>
      </w:r>
      <w:r w:rsidR="00245C7F">
        <w:rPr>
          <w:sz w:val="24"/>
          <w:szCs w:val="24"/>
        </w:rPr>
        <w:t>;</w:t>
      </w:r>
      <w:r w:rsidRPr="00B415E3">
        <w:rPr>
          <w:sz w:val="24"/>
          <w:szCs w:val="24"/>
        </w:rPr>
        <w:t xml:space="preserve"> Rotter 1954), PE can be conceptualized as a type of outcome expectancy (e.g., Rovniak et al. 2002), thus, providing a theoretical framework for understanding perceived online social gaming activity enjoyment. Social cognitive theory posits that those with initially high outcome expectancies (e.g., expectation to enjoy physical activity) may be more likely to initiate behaviour change (e.g., exercise), whereas those with initially low expected outcomes (e.g., expectation to not enjoy exercise) may be less likely to adopt the behaviour (Schwarzer et al. 2000</w:t>
      </w:r>
      <w:r w:rsidR="00245C7F">
        <w:rPr>
          <w:sz w:val="24"/>
          <w:szCs w:val="24"/>
        </w:rPr>
        <w:t>;</w:t>
      </w:r>
      <w:r w:rsidRPr="00B415E3">
        <w:rPr>
          <w:sz w:val="24"/>
          <w:szCs w:val="24"/>
        </w:rPr>
        <w:t xml:space="preserve"> Bandura 2004). </w:t>
      </w:r>
    </w:p>
    <w:p w14:paraId="330B1B79" w14:textId="77777777" w:rsidR="0021652D" w:rsidRPr="00B415E3" w:rsidRDefault="001B2301">
      <w:pPr>
        <w:pStyle w:val="Heading1"/>
        <w:numPr>
          <w:ilvl w:val="0"/>
          <w:numId w:val="2"/>
        </w:numPr>
        <w:spacing w:line="480" w:lineRule="auto"/>
        <w:rPr>
          <w:color w:val="auto"/>
        </w:rPr>
      </w:pPr>
      <w:r w:rsidRPr="00B415E3">
        <w:rPr>
          <w:color w:val="auto"/>
        </w:rPr>
        <w:t>Hypothesis Development</w:t>
      </w:r>
    </w:p>
    <w:p w14:paraId="4C29C211" w14:textId="77777777" w:rsidR="0021652D" w:rsidRPr="00B415E3" w:rsidRDefault="001B2301">
      <w:pPr>
        <w:spacing w:line="480" w:lineRule="auto"/>
        <w:rPr>
          <w:sz w:val="24"/>
          <w:szCs w:val="24"/>
        </w:rPr>
      </w:pPr>
      <w:r w:rsidRPr="00B415E3">
        <w:rPr>
          <w:sz w:val="24"/>
          <w:szCs w:val="24"/>
        </w:rPr>
        <w:t>Under the social comparison prism, our research model proposes that the social comparison direction affects intentions to continue playing online social games as a result of changes in online social gaming self-efficacy and perceived enjoyment, as depicted in Figure 1. We hypothesize that social comparison dimensions can indirectly influence the intention to continue playing online social games through online social gaming self-efficacy and perceived enjoyment.</w:t>
      </w:r>
    </w:p>
    <w:p w14:paraId="7906E4D8" w14:textId="77777777" w:rsidR="0021652D" w:rsidRPr="00B415E3" w:rsidRDefault="001B2301" w:rsidP="00D91A11">
      <w:pPr>
        <w:spacing w:before="0" w:line="480" w:lineRule="auto"/>
      </w:pPr>
      <w:r w:rsidRPr="00B415E3">
        <w:t xml:space="preserve">Figure 1 – Proposed theoretical model. </w:t>
      </w:r>
    </w:p>
    <w:p w14:paraId="188632C0" w14:textId="77777777" w:rsidR="0021652D" w:rsidRPr="00B415E3" w:rsidRDefault="001B2301" w:rsidP="00D91A11">
      <w:pPr>
        <w:spacing w:before="0" w:line="480" w:lineRule="auto"/>
        <w:jc w:val="center"/>
      </w:pPr>
      <w:r w:rsidRPr="00B415E3">
        <w:rPr>
          <w:noProof/>
          <w:lang w:val="es-ES" w:eastAsia="es-ES"/>
        </w:rPr>
        <w:lastRenderedPageBreak/>
        <w:drawing>
          <wp:inline distT="114300" distB="114300" distL="114300" distR="114300" wp14:anchorId="0C2CF5E4" wp14:editId="2A7F798B">
            <wp:extent cx="4110567" cy="3001433"/>
            <wp:effectExtent l="0" t="0" r="4445" b="889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7532" b="11134"/>
                    <a:stretch>
                      <a:fillRect/>
                    </a:stretch>
                  </pic:blipFill>
                  <pic:spPr>
                    <a:xfrm>
                      <a:off x="0" y="0"/>
                      <a:ext cx="4113082" cy="3003269"/>
                    </a:xfrm>
                    <a:prstGeom prst="rect">
                      <a:avLst/>
                    </a:prstGeom>
                    <a:ln/>
                  </pic:spPr>
                </pic:pic>
              </a:graphicData>
            </a:graphic>
          </wp:inline>
        </w:drawing>
      </w:r>
    </w:p>
    <w:p w14:paraId="6F55A206" w14:textId="77777777" w:rsidR="0021652D" w:rsidRPr="00B415E3" w:rsidRDefault="001B2301">
      <w:pPr>
        <w:pStyle w:val="Heading2"/>
        <w:numPr>
          <w:ilvl w:val="1"/>
          <w:numId w:val="2"/>
        </w:numPr>
        <w:spacing w:line="480" w:lineRule="auto"/>
        <w:rPr>
          <w:color w:val="auto"/>
        </w:rPr>
      </w:pPr>
      <w:r w:rsidRPr="00B415E3">
        <w:rPr>
          <w:color w:val="auto"/>
        </w:rPr>
        <w:t>Social Comparison and Self-efficacy</w:t>
      </w:r>
    </w:p>
    <w:p w14:paraId="4335BBD0" w14:textId="77777777" w:rsidR="0021652D" w:rsidRPr="00B415E3" w:rsidRDefault="001B2301">
      <w:pPr>
        <w:spacing w:line="480" w:lineRule="auto"/>
        <w:rPr>
          <w:sz w:val="24"/>
          <w:szCs w:val="24"/>
        </w:rPr>
      </w:pPr>
      <w:r w:rsidRPr="00B415E3">
        <w:rPr>
          <w:sz w:val="24"/>
          <w:szCs w:val="24"/>
        </w:rPr>
        <w:t xml:space="preserve">Consistent with the identification-contrast social comparison model and self-efficacy conceptualization (Bandura 1982), we examined whether the engagement in social comparison processes affects players’ online social gaming self-efficacy, positing that comparing oneself to others’ accomplishments influences one’s online social gaming self-efficacy. Bandura introduces the social comparison element of vicarious experiences “because most performances are evaluated in terms of social criteria, social comparative figures prominently in self-efficacy appraisals” (Bandura 1986, p. 400). </w:t>
      </w:r>
    </w:p>
    <w:p w14:paraId="7F72E94F" w14:textId="6A343EE6" w:rsidR="0021652D" w:rsidRPr="00B415E3" w:rsidRDefault="001B2301">
      <w:pPr>
        <w:spacing w:line="480" w:lineRule="auto"/>
        <w:rPr>
          <w:sz w:val="24"/>
          <w:szCs w:val="24"/>
        </w:rPr>
      </w:pPr>
      <w:r w:rsidRPr="00B415E3">
        <w:rPr>
          <w:sz w:val="24"/>
          <w:szCs w:val="24"/>
        </w:rPr>
        <w:t>While experienced mastery has been found to be the most powerful source of self-efficacy beliefs, individuals may increase their self-efficacy after the exposure to the successful achievements of others (Bandura et al. 1986</w:t>
      </w:r>
      <w:r w:rsidR="00736FF2">
        <w:rPr>
          <w:sz w:val="24"/>
          <w:szCs w:val="24"/>
        </w:rPr>
        <w:t>;</w:t>
      </w:r>
      <w:r w:rsidRPr="00B415E3">
        <w:rPr>
          <w:sz w:val="24"/>
          <w:szCs w:val="24"/>
        </w:rPr>
        <w:t xml:space="preserve"> Schunk 1986</w:t>
      </w:r>
      <w:r w:rsidR="00736FF2">
        <w:rPr>
          <w:sz w:val="24"/>
          <w:szCs w:val="24"/>
        </w:rPr>
        <w:t>;</w:t>
      </w:r>
      <w:r w:rsidRPr="00B415E3">
        <w:rPr>
          <w:sz w:val="24"/>
          <w:szCs w:val="24"/>
        </w:rPr>
        <w:t xml:space="preserve"> Monteil et al. 2000</w:t>
      </w:r>
      <w:r w:rsidR="00736FF2">
        <w:rPr>
          <w:sz w:val="24"/>
          <w:szCs w:val="24"/>
        </w:rPr>
        <w:t>;</w:t>
      </w:r>
      <w:r w:rsidRPr="00B415E3">
        <w:rPr>
          <w:sz w:val="24"/>
          <w:szCs w:val="24"/>
        </w:rPr>
        <w:t xml:space="preserve"> Johnson et al. 2008). On the other hand, engaging in a downward identification process will lead to lower levels of self-efficacy, because individuals identify themselves with unsuccessful downward targets and assume it will be </w:t>
      </w:r>
      <w:r w:rsidRPr="00B415E3">
        <w:rPr>
          <w:sz w:val="24"/>
          <w:szCs w:val="24"/>
        </w:rPr>
        <w:lastRenderedPageBreak/>
        <w:t>likely that they will become like the downward target, and lead to poorer performance (Bandura 1986</w:t>
      </w:r>
      <w:r w:rsidR="00F35278">
        <w:rPr>
          <w:sz w:val="24"/>
          <w:szCs w:val="24"/>
        </w:rPr>
        <w:t>;</w:t>
      </w:r>
      <w:r w:rsidRPr="00B415E3">
        <w:rPr>
          <w:sz w:val="24"/>
          <w:szCs w:val="24"/>
        </w:rPr>
        <w:t xml:space="preserve"> Buunk et al. 1990</w:t>
      </w:r>
      <w:r w:rsidR="00F35278">
        <w:rPr>
          <w:sz w:val="24"/>
          <w:szCs w:val="24"/>
        </w:rPr>
        <w:t>;</w:t>
      </w:r>
      <w:r w:rsidRPr="00B415E3">
        <w:rPr>
          <w:sz w:val="24"/>
          <w:szCs w:val="24"/>
        </w:rPr>
        <w:t xml:space="preserve"> Buunk et al. 2001</w:t>
      </w:r>
      <w:r w:rsidR="00F35278">
        <w:rPr>
          <w:sz w:val="24"/>
          <w:szCs w:val="24"/>
        </w:rPr>
        <w:t>;</w:t>
      </w:r>
      <w:r w:rsidRPr="00B415E3">
        <w:rPr>
          <w:sz w:val="24"/>
          <w:szCs w:val="24"/>
        </w:rPr>
        <w:t xml:space="preserve"> Vrugt et al. 2002). Therefore, we propose two hypotheses:</w:t>
      </w:r>
    </w:p>
    <w:p w14:paraId="766D783A" w14:textId="77777777" w:rsidR="0021652D" w:rsidRPr="00B415E3" w:rsidRDefault="001B2301">
      <w:pPr>
        <w:rPr>
          <w:sz w:val="24"/>
          <w:szCs w:val="24"/>
        </w:rPr>
      </w:pPr>
      <w:r w:rsidRPr="00B415E3">
        <w:rPr>
          <w:sz w:val="24"/>
          <w:szCs w:val="24"/>
        </w:rPr>
        <w:t>H1a: Upward identification has a positive effect on online social gaming self-efficacy.</w:t>
      </w:r>
    </w:p>
    <w:p w14:paraId="60AA4513" w14:textId="77777777" w:rsidR="0021652D" w:rsidRPr="00B415E3" w:rsidRDefault="001B2301">
      <w:pPr>
        <w:spacing w:line="480" w:lineRule="auto"/>
        <w:rPr>
          <w:sz w:val="24"/>
          <w:szCs w:val="24"/>
        </w:rPr>
      </w:pPr>
      <w:r w:rsidRPr="00B415E3">
        <w:rPr>
          <w:sz w:val="24"/>
          <w:szCs w:val="24"/>
        </w:rPr>
        <w:t>H3a: Downward identification has a negative effect on online social gaming self-efficacy.</w:t>
      </w:r>
    </w:p>
    <w:p w14:paraId="7F28DB6A" w14:textId="7F57D9B8" w:rsidR="0021652D" w:rsidRPr="00B415E3" w:rsidRDefault="001B2301">
      <w:pPr>
        <w:spacing w:line="480" w:lineRule="auto"/>
        <w:rPr>
          <w:sz w:val="24"/>
          <w:szCs w:val="24"/>
        </w:rPr>
      </w:pPr>
      <w:r w:rsidRPr="00B415E3">
        <w:rPr>
          <w:sz w:val="24"/>
          <w:szCs w:val="24"/>
        </w:rPr>
        <w:t>As previously discussed, after an exposure to a successful other (upward contrast) an individual may feel shame, frustration and resentment (Smith 2000), leading to lower online social gaming self-efficacy and performance (Van Yperen et al. 2002). When an individual is outperformed by the comparison target, his/her self-perceptions are threatened, and that may influence the individual self-evaluation as unfavourable by perceiving one’s own capacities and abilities as inferior (Collins 1996</w:t>
      </w:r>
      <w:r w:rsidR="008F71FA">
        <w:rPr>
          <w:sz w:val="24"/>
          <w:szCs w:val="24"/>
        </w:rPr>
        <w:t>;</w:t>
      </w:r>
      <w:r w:rsidRPr="00B415E3">
        <w:rPr>
          <w:sz w:val="24"/>
          <w:szCs w:val="24"/>
        </w:rPr>
        <w:t xml:space="preserve"> Muller et al. 2010). Contrarily, when individuals contrast with an unsuccessful comparison target (downward contrast), it may help them improve their performance (Dijkstra et al. 2008</w:t>
      </w:r>
      <w:r w:rsidR="008F71FA">
        <w:rPr>
          <w:sz w:val="24"/>
          <w:szCs w:val="24"/>
        </w:rPr>
        <w:t>;</w:t>
      </w:r>
      <w:r w:rsidRPr="00B415E3">
        <w:rPr>
          <w:sz w:val="24"/>
          <w:szCs w:val="24"/>
        </w:rPr>
        <w:t xml:space="preserve"> Boissicat et al. 2012</w:t>
      </w:r>
      <w:r w:rsidR="008F71FA">
        <w:rPr>
          <w:sz w:val="24"/>
          <w:szCs w:val="24"/>
        </w:rPr>
        <w:t>;</w:t>
      </w:r>
      <w:r w:rsidRPr="00B415E3">
        <w:rPr>
          <w:sz w:val="24"/>
          <w:szCs w:val="24"/>
        </w:rPr>
        <w:t xml:space="preserve"> Chung et al. 2016). Thus, we propose two hypotheses:</w:t>
      </w:r>
    </w:p>
    <w:p w14:paraId="5D7678D4" w14:textId="77777777" w:rsidR="0021652D" w:rsidRPr="00B415E3" w:rsidRDefault="001B2301">
      <w:pPr>
        <w:rPr>
          <w:sz w:val="24"/>
          <w:szCs w:val="24"/>
        </w:rPr>
      </w:pPr>
      <w:r w:rsidRPr="00B415E3">
        <w:rPr>
          <w:sz w:val="24"/>
          <w:szCs w:val="24"/>
        </w:rPr>
        <w:t>H2a: Upward contrast has a negative effect on online social gaming self-efficacy.</w:t>
      </w:r>
    </w:p>
    <w:p w14:paraId="250638A8" w14:textId="77777777" w:rsidR="0021652D" w:rsidRPr="00B415E3" w:rsidRDefault="001B2301">
      <w:pPr>
        <w:spacing w:line="480" w:lineRule="auto"/>
      </w:pPr>
      <w:r w:rsidRPr="00B415E3">
        <w:rPr>
          <w:sz w:val="24"/>
          <w:szCs w:val="24"/>
        </w:rPr>
        <w:t>H4a: Downward contrast has a positive effect on online social gaming self-efficacy.</w:t>
      </w:r>
    </w:p>
    <w:p w14:paraId="7AB83E20" w14:textId="77777777" w:rsidR="0021652D" w:rsidRPr="00B415E3" w:rsidRDefault="001B2301">
      <w:pPr>
        <w:pStyle w:val="Heading2"/>
        <w:numPr>
          <w:ilvl w:val="1"/>
          <w:numId w:val="2"/>
        </w:numPr>
        <w:spacing w:line="480" w:lineRule="auto"/>
        <w:rPr>
          <w:color w:val="auto"/>
        </w:rPr>
      </w:pPr>
      <w:r w:rsidRPr="00B415E3">
        <w:rPr>
          <w:color w:val="auto"/>
        </w:rPr>
        <w:t>Social Comparison and Perceived Enjoyment</w:t>
      </w:r>
    </w:p>
    <w:p w14:paraId="65E5F053" w14:textId="51BAF5C2" w:rsidR="001C09D0" w:rsidRPr="00B415E3" w:rsidRDefault="001C09D0" w:rsidP="001C09D0">
      <w:pPr>
        <w:spacing w:line="480" w:lineRule="auto"/>
        <w:rPr>
          <w:sz w:val="24"/>
          <w:szCs w:val="24"/>
        </w:rPr>
      </w:pPr>
      <w:bookmarkStart w:id="4" w:name="_heading=h.1fob9te" w:colFirst="0" w:colLast="0"/>
      <w:bookmarkEnd w:id="4"/>
      <w:r w:rsidRPr="00B415E3">
        <w:rPr>
          <w:sz w:val="24"/>
          <w:szCs w:val="24"/>
        </w:rPr>
        <w:t>When the social comparison turns out successful, individuals may enjoy a positive state of mood and wellbeing. Consequences of upward identification and downward contrast include self-esteem, perceived control, optimism, perceived similarity, and empathy (Smith 2000</w:t>
      </w:r>
      <w:r w:rsidR="00E34D6C">
        <w:rPr>
          <w:sz w:val="24"/>
          <w:szCs w:val="24"/>
        </w:rPr>
        <w:t>;</w:t>
      </w:r>
      <w:r w:rsidRPr="00B415E3">
        <w:rPr>
          <w:sz w:val="24"/>
          <w:szCs w:val="24"/>
        </w:rPr>
        <w:t xml:space="preserve"> Dijkstra et al. 2008</w:t>
      </w:r>
      <w:r w:rsidR="00E34D6C">
        <w:rPr>
          <w:sz w:val="24"/>
          <w:szCs w:val="24"/>
        </w:rPr>
        <w:t xml:space="preserve">; </w:t>
      </w:r>
      <w:r w:rsidRPr="00B415E3">
        <w:rPr>
          <w:sz w:val="24"/>
          <w:szCs w:val="24"/>
        </w:rPr>
        <w:t>Chung et al. 2016). These comparison processes are considered desirable in nature, and may produce emotions of pride, relief and satisfaction (Smith 2000</w:t>
      </w:r>
      <w:r w:rsidR="00E34D6C">
        <w:rPr>
          <w:sz w:val="24"/>
          <w:szCs w:val="24"/>
        </w:rPr>
        <w:t>;</w:t>
      </w:r>
      <w:r w:rsidRPr="00B415E3">
        <w:rPr>
          <w:sz w:val="24"/>
          <w:szCs w:val="24"/>
        </w:rPr>
        <w:t xml:space="preserve"> Smith et al. 2006). Rahimi et al. </w:t>
      </w:r>
      <w:r w:rsidRPr="00B415E3">
        <w:rPr>
          <w:sz w:val="24"/>
          <w:szCs w:val="24"/>
        </w:rPr>
        <w:lastRenderedPageBreak/>
        <w:t>(2017) show that desirable social comparisons lead to increase of enjoyment. Furthermore, Lewis and Weather (2016</w:t>
      </w:r>
      <w:r w:rsidR="00E34D6C">
        <w:rPr>
          <w:sz w:val="24"/>
          <w:szCs w:val="24"/>
        </w:rPr>
        <w:t>;</w:t>
      </w:r>
      <w:r w:rsidRPr="00B415E3">
        <w:rPr>
          <w:sz w:val="24"/>
          <w:szCs w:val="24"/>
        </w:rPr>
        <w:t xml:space="preserve"> 2019) studied the emotional responses to social comparisons in reality TV programs and found that emotional responses associated with desirable social comparisons (upward identification and downward contrast) are positively related to enjoyment of the TV program.  In addition, social presence and tendency to social comparison have been found to influence perceived enjoyment in online environments (Shen 2012). Specifically, positive social comparison feedback (such as notifications related to upward identification and downward contrast) is shown to positively influence perceived enjoyment via competence (Velez et al. 2018). Moreover, Graves et al. </w:t>
      </w:r>
      <w:r w:rsidR="00E34D6C">
        <w:rPr>
          <w:sz w:val="24"/>
          <w:szCs w:val="24"/>
        </w:rPr>
        <w:t>(</w:t>
      </w:r>
      <w:r w:rsidRPr="00B415E3">
        <w:rPr>
          <w:sz w:val="24"/>
          <w:szCs w:val="24"/>
        </w:rPr>
        <w:t>2012</w:t>
      </w:r>
      <w:r w:rsidR="00E34D6C">
        <w:rPr>
          <w:sz w:val="24"/>
          <w:szCs w:val="24"/>
        </w:rPr>
        <w:t>)</w:t>
      </w:r>
      <w:r w:rsidRPr="00B415E3">
        <w:rPr>
          <w:sz w:val="24"/>
          <w:szCs w:val="24"/>
        </w:rPr>
        <w:t xml:space="preserve"> have shown that self-esteem positively affects enjoyment; hence, desirable social comparisons, which are known to produce feelings of self-esteem, can lead to higher enjoyment. Similarly, Raghunathan et al. (2006) show that the sense of belonging, or similarity with approved individuals can increase enjoyment; therefore, social comparisons that induce such positive similarity feelings can increase enjoyment. Thus, we can hypothesize that:</w:t>
      </w:r>
    </w:p>
    <w:p w14:paraId="33CFEAD2" w14:textId="41417C3D" w:rsidR="0021652D" w:rsidRPr="00B415E3" w:rsidRDefault="001B2301">
      <w:pPr>
        <w:rPr>
          <w:sz w:val="24"/>
          <w:szCs w:val="24"/>
        </w:rPr>
      </w:pPr>
      <w:r w:rsidRPr="00B415E3">
        <w:rPr>
          <w:sz w:val="24"/>
          <w:szCs w:val="24"/>
        </w:rPr>
        <w:t>H1b: Upward identification has a positive effect on perceived enjoyment.</w:t>
      </w:r>
    </w:p>
    <w:p w14:paraId="4A704538" w14:textId="77777777" w:rsidR="0021652D" w:rsidRPr="00B415E3" w:rsidRDefault="001B2301">
      <w:pPr>
        <w:spacing w:line="480" w:lineRule="auto"/>
        <w:rPr>
          <w:sz w:val="24"/>
          <w:szCs w:val="24"/>
        </w:rPr>
      </w:pPr>
      <w:r w:rsidRPr="00B415E3">
        <w:rPr>
          <w:sz w:val="24"/>
          <w:szCs w:val="24"/>
        </w:rPr>
        <w:t>H4b: Downward contrast has a positive effect on perceived enjoyment.</w:t>
      </w:r>
    </w:p>
    <w:p w14:paraId="501C4165" w14:textId="362089F2" w:rsidR="0021652D" w:rsidRPr="00B415E3" w:rsidRDefault="001B2301" w:rsidP="004B08FC">
      <w:pPr>
        <w:spacing w:line="480" w:lineRule="auto"/>
        <w:rPr>
          <w:sz w:val="24"/>
          <w:szCs w:val="24"/>
        </w:rPr>
      </w:pPr>
      <w:r w:rsidRPr="00B415E3">
        <w:rPr>
          <w:sz w:val="24"/>
          <w:szCs w:val="24"/>
        </w:rPr>
        <w:t xml:space="preserve">When the comparison turns out unsuccessful, individuals may experience a negative state of mood and wellbeing. Both upward contrast and downward identification are related to negative feelings such as guilt, blame, regret, and </w:t>
      </w:r>
      <w:r w:rsidR="004B08FC" w:rsidRPr="00B415E3">
        <w:rPr>
          <w:sz w:val="24"/>
          <w:szCs w:val="24"/>
        </w:rPr>
        <w:t xml:space="preserve">malicious </w:t>
      </w:r>
      <w:r w:rsidRPr="00B415E3">
        <w:rPr>
          <w:sz w:val="24"/>
          <w:szCs w:val="24"/>
        </w:rPr>
        <w:t>envy</w:t>
      </w:r>
      <w:r w:rsidR="001E0FD7" w:rsidRPr="00B415E3">
        <w:rPr>
          <w:sz w:val="24"/>
          <w:szCs w:val="24"/>
        </w:rPr>
        <w:t>, as well as feelings of incompetence and inability to improve one’s performance</w:t>
      </w:r>
      <w:r w:rsidRPr="00B415E3">
        <w:rPr>
          <w:sz w:val="24"/>
          <w:szCs w:val="24"/>
        </w:rPr>
        <w:t xml:space="preserve"> (Smith 2000</w:t>
      </w:r>
      <w:r w:rsidR="00744676">
        <w:rPr>
          <w:sz w:val="24"/>
          <w:szCs w:val="24"/>
        </w:rPr>
        <w:t>;</w:t>
      </w:r>
      <w:r w:rsidRPr="00B415E3">
        <w:rPr>
          <w:sz w:val="24"/>
          <w:szCs w:val="24"/>
        </w:rPr>
        <w:t xml:space="preserve"> White et al. 2006</w:t>
      </w:r>
      <w:r w:rsidR="00744676">
        <w:rPr>
          <w:sz w:val="24"/>
          <w:szCs w:val="24"/>
        </w:rPr>
        <w:t>;</w:t>
      </w:r>
      <w:r w:rsidRPr="00B415E3">
        <w:rPr>
          <w:sz w:val="24"/>
          <w:szCs w:val="24"/>
        </w:rPr>
        <w:t xml:space="preserve"> Chester et al. 2013</w:t>
      </w:r>
      <w:r w:rsidR="00744676">
        <w:rPr>
          <w:sz w:val="24"/>
          <w:szCs w:val="24"/>
        </w:rPr>
        <w:t>;</w:t>
      </w:r>
      <w:r w:rsidRPr="00B415E3">
        <w:rPr>
          <w:sz w:val="24"/>
          <w:szCs w:val="24"/>
        </w:rPr>
        <w:t xml:space="preserve"> Jankowski et al. 2014</w:t>
      </w:r>
      <w:r w:rsidR="00744676">
        <w:rPr>
          <w:sz w:val="24"/>
          <w:szCs w:val="24"/>
        </w:rPr>
        <w:t>;</w:t>
      </w:r>
      <w:r w:rsidRPr="00B415E3">
        <w:rPr>
          <w:sz w:val="24"/>
          <w:szCs w:val="24"/>
        </w:rPr>
        <w:t xml:space="preserve"> Cabrera-Perona et al. 2017). </w:t>
      </w:r>
      <w:r w:rsidR="004B08FC" w:rsidRPr="00B415E3">
        <w:rPr>
          <w:sz w:val="24"/>
          <w:szCs w:val="24"/>
        </w:rPr>
        <w:t>Malicious envy has been shown to negatively affect enjoyment</w:t>
      </w:r>
      <w:r w:rsidR="00F574CD" w:rsidRPr="00B415E3">
        <w:rPr>
          <w:sz w:val="24"/>
          <w:szCs w:val="24"/>
        </w:rPr>
        <w:t xml:space="preserve"> (Wu et al. 2014)</w:t>
      </w:r>
      <w:r w:rsidR="004B08FC" w:rsidRPr="00B415E3">
        <w:rPr>
          <w:sz w:val="24"/>
          <w:szCs w:val="24"/>
        </w:rPr>
        <w:t xml:space="preserve">; hence, upward contrast and downward identification, which are known to produce feelings of malicious envy, can lead to lower enjoyment. Furthermore, feelings of perceived incompetence and fewer opportunities to improve one’s performance lead to reduced </w:t>
      </w:r>
      <w:r w:rsidR="004B08FC" w:rsidRPr="00B415E3">
        <w:rPr>
          <w:sz w:val="24"/>
          <w:szCs w:val="24"/>
        </w:rPr>
        <w:lastRenderedPageBreak/>
        <w:t>enjoyment (Vorderer et al. 2003). Upward contrast and downward identification are associated with feelings of incompetence and inability to improve one’s performance</w:t>
      </w:r>
      <w:r w:rsidR="00F574CD" w:rsidRPr="00B415E3">
        <w:rPr>
          <w:sz w:val="24"/>
          <w:szCs w:val="24"/>
        </w:rPr>
        <w:t>:</w:t>
      </w:r>
      <w:r w:rsidR="004B08FC" w:rsidRPr="00B415E3">
        <w:rPr>
          <w:sz w:val="24"/>
          <w:szCs w:val="24"/>
        </w:rPr>
        <w:t xml:space="preserve"> </w:t>
      </w:r>
      <w:r w:rsidR="00F574CD" w:rsidRPr="00B415E3">
        <w:rPr>
          <w:sz w:val="24"/>
          <w:szCs w:val="24"/>
        </w:rPr>
        <w:t>a</w:t>
      </w:r>
      <w:r w:rsidR="004B08FC" w:rsidRPr="00B415E3">
        <w:rPr>
          <w:sz w:val="24"/>
          <w:szCs w:val="24"/>
        </w:rPr>
        <w:t xml:space="preserve"> player who identifies with a poor</w:t>
      </w:r>
      <w:r w:rsidR="00F574CD" w:rsidRPr="00B415E3">
        <w:rPr>
          <w:sz w:val="24"/>
          <w:szCs w:val="24"/>
        </w:rPr>
        <w:t xml:space="preserve"> performer, feels that s</w:t>
      </w:r>
      <w:r w:rsidR="004B08FC" w:rsidRPr="00B415E3">
        <w:rPr>
          <w:sz w:val="24"/>
          <w:szCs w:val="24"/>
        </w:rPr>
        <w:t>he will perform as poorly as this performer</w:t>
      </w:r>
      <w:r w:rsidR="00F574CD" w:rsidRPr="00B415E3">
        <w:rPr>
          <w:sz w:val="24"/>
          <w:szCs w:val="24"/>
        </w:rPr>
        <w:t xml:space="preserve"> or that she will not be able to improve, similarly to the poor performer</w:t>
      </w:r>
      <w:r w:rsidR="004B08FC" w:rsidRPr="00B415E3">
        <w:rPr>
          <w:sz w:val="24"/>
          <w:szCs w:val="24"/>
        </w:rPr>
        <w:t xml:space="preserve">; hence, her enjoyment is reduced. </w:t>
      </w:r>
      <w:r w:rsidRPr="00B415E3">
        <w:rPr>
          <w:sz w:val="24"/>
          <w:szCs w:val="24"/>
        </w:rPr>
        <w:t xml:space="preserve">Thus, we </w:t>
      </w:r>
      <w:r w:rsidR="00321F8C" w:rsidRPr="00B415E3">
        <w:rPr>
          <w:sz w:val="24"/>
          <w:szCs w:val="24"/>
        </w:rPr>
        <w:t xml:space="preserve">can </w:t>
      </w:r>
      <w:r w:rsidRPr="00B415E3">
        <w:rPr>
          <w:sz w:val="24"/>
          <w:szCs w:val="24"/>
        </w:rPr>
        <w:t>hypothesize that:</w:t>
      </w:r>
    </w:p>
    <w:p w14:paraId="6705A78A" w14:textId="5FDA4CB1" w:rsidR="0021652D" w:rsidRPr="00B415E3" w:rsidRDefault="001B2301">
      <w:pPr>
        <w:rPr>
          <w:sz w:val="24"/>
          <w:szCs w:val="24"/>
        </w:rPr>
      </w:pPr>
      <w:r w:rsidRPr="00B415E3">
        <w:rPr>
          <w:sz w:val="24"/>
          <w:szCs w:val="24"/>
        </w:rPr>
        <w:t xml:space="preserve">H2b: Upward contrast </w:t>
      </w:r>
      <w:r w:rsidR="00BD58A9" w:rsidRPr="00B415E3">
        <w:rPr>
          <w:sz w:val="24"/>
          <w:szCs w:val="24"/>
        </w:rPr>
        <w:t>has a negative effect on</w:t>
      </w:r>
      <w:r w:rsidRPr="00B415E3">
        <w:rPr>
          <w:sz w:val="24"/>
          <w:szCs w:val="24"/>
        </w:rPr>
        <w:t xml:space="preserve"> perceived enjoyment.</w:t>
      </w:r>
    </w:p>
    <w:p w14:paraId="5EF94FE5" w14:textId="77777777" w:rsidR="0021652D" w:rsidRPr="00B415E3" w:rsidRDefault="001B2301">
      <w:pPr>
        <w:spacing w:line="480" w:lineRule="auto"/>
        <w:rPr>
          <w:sz w:val="24"/>
          <w:szCs w:val="24"/>
        </w:rPr>
      </w:pPr>
      <w:r w:rsidRPr="00B415E3">
        <w:rPr>
          <w:sz w:val="24"/>
          <w:szCs w:val="24"/>
        </w:rPr>
        <w:t>H3b: Downward identification has a negative effect on perceived enjoyment.</w:t>
      </w:r>
    </w:p>
    <w:p w14:paraId="1D7ADA36" w14:textId="77777777" w:rsidR="0021652D" w:rsidRPr="00B415E3" w:rsidRDefault="001B2301">
      <w:pPr>
        <w:pStyle w:val="Heading2"/>
        <w:numPr>
          <w:ilvl w:val="1"/>
          <w:numId w:val="2"/>
        </w:numPr>
        <w:spacing w:line="480" w:lineRule="auto"/>
        <w:rPr>
          <w:color w:val="auto"/>
        </w:rPr>
      </w:pPr>
      <w:r w:rsidRPr="00B415E3">
        <w:rPr>
          <w:color w:val="auto"/>
        </w:rPr>
        <w:t>Self-efficacy, Enjoyment and Game-Play Continuance</w:t>
      </w:r>
    </w:p>
    <w:p w14:paraId="0D12112D" w14:textId="41BBA6AE" w:rsidR="0021652D" w:rsidRPr="00B415E3" w:rsidRDefault="001B2301">
      <w:pPr>
        <w:spacing w:line="480" w:lineRule="auto"/>
        <w:rPr>
          <w:sz w:val="24"/>
          <w:szCs w:val="24"/>
        </w:rPr>
      </w:pPr>
      <w:r w:rsidRPr="00B415E3">
        <w:rPr>
          <w:sz w:val="24"/>
          <w:szCs w:val="24"/>
        </w:rPr>
        <w:t>Previous self-efficacy theory research, postulates that judgments of self-efficacy influences behaviour, including outcome expectancies, goals, persistence, and effort (Bandura, 1997). Previous research (Tamborini et al. 2007</w:t>
      </w:r>
      <w:r w:rsidR="006C48BA">
        <w:rPr>
          <w:sz w:val="24"/>
          <w:szCs w:val="24"/>
        </w:rPr>
        <w:t>;</w:t>
      </w:r>
      <w:r w:rsidRPr="00B415E3">
        <w:rPr>
          <w:sz w:val="24"/>
          <w:szCs w:val="24"/>
        </w:rPr>
        <w:t xml:space="preserve"> </w:t>
      </w:r>
      <w:r w:rsidR="006C48BA">
        <w:rPr>
          <w:sz w:val="24"/>
          <w:szCs w:val="24"/>
        </w:rPr>
        <w:t>K</w:t>
      </w:r>
      <w:r w:rsidRPr="00B415E3">
        <w:rPr>
          <w:sz w:val="24"/>
          <w:szCs w:val="24"/>
        </w:rPr>
        <w:t>limm et al. 2009) confirms that gaming self-efficacy experiences influence game enjoyment. This leads us to the next hypotheses:</w:t>
      </w:r>
    </w:p>
    <w:p w14:paraId="0929B0BC" w14:textId="77777777" w:rsidR="0021652D" w:rsidRPr="00B415E3" w:rsidRDefault="001B2301">
      <w:pPr>
        <w:spacing w:line="480" w:lineRule="auto"/>
        <w:rPr>
          <w:sz w:val="24"/>
          <w:szCs w:val="24"/>
        </w:rPr>
      </w:pPr>
      <w:r w:rsidRPr="00B415E3">
        <w:rPr>
          <w:sz w:val="24"/>
          <w:szCs w:val="24"/>
        </w:rPr>
        <w:t>H5a: Online social gaming self-efficacy has a positive effect on players’ perceived enjoyment.</w:t>
      </w:r>
    </w:p>
    <w:p w14:paraId="1F6DD76B" w14:textId="77777777" w:rsidR="0021652D" w:rsidRPr="00B415E3" w:rsidRDefault="001B2301">
      <w:pPr>
        <w:spacing w:line="480" w:lineRule="auto"/>
        <w:rPr>
          <w:sz w:val="24"/>
          <w:szCs w:val="24"/>
        </w:rPr>
      </w:pPr>
      <w:r w:rsidRPr="00B415E3">
        <w:rPr>
          <w:sz w:val="24"/>
          <w:szCs w:val="24"/>
        </w:rPr>
        <w:t>H5b: Online social gaming self-efficacy has a positive effect on intentions to continue playing.</w:t>
      </w:r>
    </w:p>
    <w:p w14:paraId="53EDE369" w14:textId="24FC5DF2" w:rsidR="0021652D" w:rsidRPr="00B415E3" w:rsidRDefault="001B2301">
      <w:pPr>
        <w:spacing w:line="480" w:lineRule="auto"/>
        <w:rPr>
          <w:sz w:val="24"/>
          <w:szCs w:val="24"/>
        </w:rPr>
      </w:pPr>
      <w:r w:rsidRPr="00B415E3">
        <w:rPr>
          <w:sz w:val="24"/>
          <w:szCs w:val="24"/>
        </w:rPr>
        <w:t>When the users experience fun and pleasure from using a system, they are more likely to be intrinsically motivated to adopt it (Davis et al. 1992</w:t>
      </w:r>
      <w:r w:rsidR="00FD3E86">
        <w:rPr>
          <w:sz w:val="24"/>
          <w:szCs w:val="24"/>
        </w:rPr>
        <w:t>;</w:t>
      </w:r>
      <w:r w:rsidRPr="00B415E3">
        <w:rPr>
          <w:sz w:val="24"/>
          <w:szCs w:val="24"/>
        </w:rPr>
        <w:t xml:space="preserve"> Van der Heijden, 2004</w:t>
      </w:r>
      <w:r w:rsidR="00FD3E86">
        <w:rPr>
          <w:sz w:val="24"/>
          <w:szCs w:val="24"/>
        </w:rPr>
        <w:t>;</w:t>
      </w:r>
      <w:r w:rsidRPr="00B415E3">
        <w:rPr>
          <w:sz w:val="24"/>
          <w:szCs w:val="24"/>
        </w:rPr>
        <w:t xml:space="preserve"> Hong et al. 2017). Extant literature demonstrates that PE is one of the most important drivers of intention to play (Wu et al. 2007</w:t>
      </w:r>
      <w:r w:rsidR="00FD3E86">
        <w:rPr>
          <w:sz w:val="24"/>
          <w:szCs w:val="24"/>
        </w:rPr>
        <w:t>;</w:t>
      </w:r>
      <w:r w:rsidRPr="00B415E3">
        <w:rPr>
          <w:sz w:val="24"/>
          <w:szCs w:val="24"/>
        </w:rPr>
        <w:t xml:space="preserve"> Lin et al. 2010</w:t>
      </w:r>
      <w:r w:rsidR="00FD3E86">
        <w:rPr>
          <w:sz w:val="24"/>
          <w:szCs w:val="24"/>
        </w:rPr>
        <w:t>;</w:t>
      </w:r>
      <w:r w:rsidRPr="00B415E3">
        <w:rPr>
          <w:sz w:val="24"/>
          <w:szCs w:val="24"/>
        </w:rPr>
        <w:t xml:space="preserve"> Chang et al. 2011</w:t>
      </w:r>
      <w:r w:rsidR="00FD3E86">
        <w:rPr>
          <w:sz w:val="24"/>
          <w:szCs w:val="24"/>
        </w:rPr>
        <w:t>;</w:t>
      </w:r>
      <w:r w:rsidRPr="00B415E3">
        <w:rPr>
          <w:sz w:val="24"/>
          <w:szCs w:val="24"/>
        </w:rPr>
        <w:t xml:space="preserve"> Lee et al. 2013) and continuance to play (Lee et al. 2010). Thus, we postulate that:</w:t>
      </w:r>
    </w:p>
    <w:p w14:paraId="683A0E2E" w14:textId="77777777" w:rsidR="0021652D" w:rsidRPr="00B415E3" w:rsidRDefault="001B2301">
      <w:pPr>
        <w:rPr>
          <w:sz w:val="24"/>
          <w:szCs w:val="24"/>
        </w:rPr>
      </w:pPr>
      <w:r w:rsidRPr="00B415E3">
        <w:rPr>
          <w:sz w:val="24"/>
          <w:szCs w:val="24"/>
        </w:rPr>
        <w:t>H6. Perceived enjoyment positively influences the intention to continue playing the online social game.</w:t>
      </w:r>
    </w:p>
    <w:p w14:paraId="163EEF27" w14:textId="77777777" w:rsidR="0021652D" w:rsidRPr="00B415E3" w:rsidRDefault="001B2301">
      <w:pPr>
        <w:rPr>
          <w:sz w:val="24"/>
          <w:szCs w:val="24"/>
        </w:rPr>
      </w:pPr>
      <w:r w:rsidRPr="00B415E3">
        <w:rPr>
          <w:sz w:val="24"/>
          <w:szCs w:val="24"/>
        </w:rPr>
        <w:lastRenderedPageBreak/>
        <w:t>H7. The intention to continue playing is positively correlated with the actual behaviour of continuing playing in time T1.</w:t>
      </w:r>
    </w:p>
    <w:p w14:paraId="076968FD" w14:textId="77777777" w:rsidR="0021652D" w:rsidRPr="00B415E3" w:rsidRDefault="0021652D">
      <w:pPr>
        <w:rPr>
          <w:sz w:val="24"/>
          <w:szCs w:val="24"/>
        </w:rPr>
      </w:pPr>
    </w:p>
    <w:p w14:paraId="71ED5FC3" w14:textId="77777777" w:rsidR="0021652D" w:rsidRPr="00B415E3" w:rsidRDefault="001B2301">
      <w:pPr>
        <w:pStyle w:val="Heading1"/>
        <w:numPr>
          <w:ilvl w:val="0"/>
          <w:numId w:val="2"/>
        </w:numPr>
        <w:spacing w:line="480" w:lineRule="auto"/>
        <w:rPr>
          <w:color w:val="auto"/>
        </w:rPr>
      </w:pPr>
      <w:r w:rsidRPr="00B415E3">
        <w:rPr>
          <w:color w:val="auto"/>
        </w:rPr>
        <w:t>Research Methodology</w:t>
      </w:r>
    </w:p>
    <w:p w14:paraId="3A7FC256" w14:textId="77777777" w:rsidR="0021652D" w:rsidRPr="00B415E3" w:rsidRDefault="001B2301">
      <w:pPr>
        <w:spacing w:line="480" w:lineRule="auto"/>
        <w:rPr>
          <w:sz w:val="24"/>
          <w:szCs w:val="24"/>
        </w:rPr>
      </w:pPr>
      <w:r w:rsidRPr="00B415E3">
        <w:rPr>
          <w:sz w:val="24"/>
          <w:szCs w:val="24"/>
        </w:rPr>
        <w:t>We use real-world data collection to gather online social game playing data in a natural, unobtrusive environment.  The online social game serving as an instantiation of our hedonic environment was Farm Heroes Saga. Farm Heroes Saga</w:t>
      </w:r>
      <w:r w:rsidRPr="00B415E3">
        <w:rPr>
          <w:sz w:val="24"/>
          <w:szCs w:val="24"/>
          <w:vertAlign w:val="superscript"/>
        </w:rPr>
        <w:footnoteReference w:id="4"/>
      </w:r>
      <w:r w:rsidRPr="00B415E3">
        <w:rPr>
          <w:sz w:val="24"/>
          <w:szCs w:val="24"/>
        </w:rPr>
        <w:t xml:space="preserve"> is an online game developed by King.com</w:t>
      </w:r>
      <w:r w:rsidRPr="00B415E3">
        <w:rPr>
          <w:sz w:val="24"/>
          <w:szCs w:val="24"/>
          <w:vertAlign w:val="superscript"/>
        </w:rPr>
        <w:footnoteReference w:id="5"/>
      </w:r>
      <w:r w:rsidRPr="00B415E3">
        <w:rPr>
          <w:sz w:val="24"/>
          <w:szCs w:val="24"/>
        </w:rPr>
        <w:t xml:space="preserve"> (the company that developed the social game Candy Crush Saga</w:t>
      </w:r>
      <w:r w:rsidRPr="00B415E3">
        <w:rPr>
          <w:sz w:val="24"/>
          <w:szCs w:val="24"/>
          <w:vertAlign w:val="superscript"/>
        </w:rPr>
        <w:footnoteReference w:id="6"/>
      </w:r>
      <w:r w:rsidRPr="00B415E3">
        <w:rPr>
          <w:sz w:val="24"/>
          <w:szCs w:val="24"/>
        </w:rPr>
        <w:t>) and currently is one of the most played games on Facebook. The game is a free-to-play social puzzle game full of in-game goods to acquire with real money such as boosts, virtual currency, extra moves or lives. Farm Heroes Saga employs well-established puzzle mechanics like the ones used by the popular Candy Crush Saga game. The objective of the game, in order to complete each game level, is for players to match fruits of the same type/colour in groups of at least 3 (in a horizontal or vertical row) by swapping a single one with a different one located next to it in the game grid. A successful match causes the fruits used in it to disappear and all the objects above them to fall and new ones to appear at the top of the board.</w:t>
      </w:r>
    </w:p>
    <w:p w14:paraId="524F38E1" w14:textId="77777777" w:rsidR="0021652D" w:rsidRPr="00B415E3" w:rsidRDefault="001B2301">
      <w:pPr>
        <w:spacing w:line="480" w:lineRule="auto"/>
        <w:rPr>
          <w:sz w:val="24"/>
          <w:szCs w:val="24"/>
        </w:rPr>
      </w:pPr>
      <w:r w:rsidRPr="00B415E3">
        <w:rPr>
          <w:sz w:val="24"/>
          <w:szCs w:val="24"/>
        </w:rPr>
        <w:t xml:space="preserve">Structurally, Farm Heroes Saga consists of “Episodes”, with each of them consisting of an overhead map (Figure 2) with a different number of game levels to beat (averaging at about 15 per episode), with a boss fight as the final game level of each of them. This game level map also shows an indication of a players’ friends current game level (if they are in the same “Episode”/map) </w:t>
      </w:r>
      <w:r w:rsidRPr="00B415E3">
        <w:rPr>
          <w:sz w:val="24"/>
          <w:szCs w:val="24"/>
        </w:rPr>
        <w:lastRenderedPageBreak/>
        <w:t>allowing to send those same friends</w:t>
      </w:r>
      <w:r w:rsidRPr="00B415E3">
        <w:t xml:space="preserve"> </w:t>
      </w:r>
      <w:r w:rsidRPr="00B415E3">
        <w:rPr>
          <w:sz w:val="24"/>
          <w:szCs w:val="24"/>
        </w:rPr>
        <w:t>some sort of in-game aid, such as extra lives or powerups. There are currently 128 episodes in Farm Heroes Saga, with a total of 1975 divided among them.</w:t>
      </w:r>
    </w:p>
    <w:p w14:paraId="4445EF32" w14:textId="77777777" w:rsidR="0021652D" w:rsidRPr="00B415E3" w:rsidRDefault="001B2301">
      <w:pPr>
        <w:spacing w:line="480" w:lineRule="auto"/>
        <w:rPr>
          <w:sz w:val="24"/>
          <w:szCs w:val="24"/>
        </w:rPr>
      </w:pPr>
      <w:r w:rsidRPr="00B415E3">
        <w:rPr>
          <w:sz w:val="24"/>
          <w:szCs w:val="24"/>
        </w:rPr>
        <w:t xml:space="preserve">Each game level may also require players to complete determined objectives to successfully finish it. Similar to other games produced by the company, most levels expect the player to fill a “growth meter” (wherein other King games you must obtain a “star”) by completing matches with specific fruits before the timer expires or the movement limit is reached. Some levels, however, allow the collection of animals by reaching a specific minimum score. Obtaining a full set of animals, rewards players with free power-ups. Occasionally a level consists of a “boss fight” against the game’s mascot and antagonist </w:t>
      </w:r>
      <w:r w:rsidRPr="00B415E3">
        <w:rPr>
          <w:i/>
          <w:sz w:val="24"/>
          <w:szCs w:val="24"/>
        </w:rPr>
        <w:t>Rancid the Racoon</w:t>
      </w:r>
      <w:r w:rsidRPr="00B415E3">
        <w:rPr>
          <w:sz w:val="24"/>
          <w:szCs w:val="24"/>
        </w:rPr>
        <w:t>, who is trying to destroy the farm where the game takes place, being up to the player to stop him with the help of the animals that reside in the farm. These fights maintain the same basic gameplay mechanics as regular levels but instead of filling a meter, the player must deplete their opponent’s life bar. Beating the boss allows the player to move to the next group of levels, provided they get the specific minimum score, which in turn rewards a player with a key to open the path ahead. In case a player is unable to get the minimum score required to proceed, they may ask three friends to help them get past the barrier or instead wait four days for the next segment of the game to unlock automatically.</w:t>
      </w:r>
    </w:p>
    <w:p w14:paraId="49F63ABD" w14:textId="05330ADA" w:rsidR="0021652D" w:rsidRPr="00B415E3" w:rsidRDefault="001B2301">
      <w:pPr>
        <w:spacing w:line="480" w:lineRule="auto"/>
        <w:rPr>
          <w:sz w:val="24"/>
          <w:szCs w:val="24"/>
        </w:rPr>
      </w:pPr>
      <w:r w:rsidRPr="00B415E3">
        <w:rPr>
          <w:sz w:val="24"/>
          <w:szCs w:val="24"/>
        </w:rPr>
        <w:t xml:space="preserve">Other social mechanics used (in addition to the aforementioned help players can provide to their friends) are leaderboards (called “Top Lists” in the game) to continuously expose the player to social information. For example, after each quest, the game shows a leaderboard with the player score and the results of other players in that specific level. As shown in Figure 2, this Top List is a feature in Farm Heroes Saga with which the player can not only see their friends score, but also the current highest worldwide scores. These lists are used to incite some degree of friendly competition among friends </w:t>
      </w:r>
      <w:r w:rsidR="00D91A11" w:rsidRPr="00B415E3">
        <w:rPr>
          <w:sz w:val="24"/>
          <w:szCs w:val="24"/>
        </w:rPr>
        <w:t>and</w:t>
      </w:r>
      <w:r w:rsidRPr="00B415E3">
        <w:rPr>
          <w:sz w:val="24"/>
          <w:szCs w:val="24"/>
        </w:rPr>
        <w:t xml:space="preserve"> keep players invested in the game for longer. </w:t>
      </w:r>
    </w:p>
    <w:tbl>
      <w:tblPr>
        <w:tblStyle w:val="a9"/>
        <w:tblW w:w="10074" w:type="dxa"/>
        <w:tblBorders>
          <w:top w:val="nil"/>
          <w:left w:val="nil"/>
          <w:bottom w:val="nil"/>
          <w:right w:val="nil"/>
          <w:insideH w:val="nil"/>
          <w:insideV w:val="nil"/>
        </w:tblBorders>
        <w:tblLayout w:type="fixed"/>
        <w:tblLook w:val="0400" w:firstRow="0" w:lastRow="0" w:firstColumn="0" w:lastColumn="0" w:noHBand="0" w:noVBand="1"/>
      </w:tblPr>
      <w:tblGrid>
        <w:gridCol w:w="4785"/>
        <w:gridCol w:w="5289"/>
      </w:tblGrid>
      <w:tr w:rsidR="00B415E3" w:rsidRPr="00B415E3" w14:paraId="365DEAB3" w14:textId="77777777" w:rsidTr="00D91A11">
        <w:trPr>
          <w:trHeight w:val="491"/>
        </w:trPr>
        <w:tc>
          <w:tcPr>
            <w:tcW w:w="10074" w:type="dxa"/>
            <w:gridSpan w:val="2"/>
          </w:tcPr>
          <w:p w14:paraId="06383BE1" w14:textId="77777777" w:rsidR="0021652D" w:rsidRPr="00B415E3" w:rsidRDefault="001B2301" w:rsidP="00A131F3">
            <w:pPr>
              <w:spacing w:before="0" w:line="480" w:lineRule="auto"/>
              <w:jc w:val="center"/>
            </w:pPr>
            <w:r w:rsidRPr="00B415E3">
              <w:lastRenderedPageBreak/>
              <w:t>Figure 2. A snapshot of Farm Heroes Saga game: Top list leaderboard and game level map</w:t>
            </w:r>
          </w:p>
        </w:tc>
      </w:tr>
      <w:tr w:rsidR="00B415E3" w:rsidRPr="00B415E3" w14:paraId="7D676348" w14:textId="77777777" w:rsidTr="00D91A11">
        <w:trPr>
          <w:trHeight w:val="3933"/>
        </w:trPr>
        <w:tc>
          <w:tcPr>
            <w:tcW w:w="4785" w:type="dxa"/>
          </w:tcPr>
          <w:p w14:paraId="4C01A533" w14:textId="77777777" w:rsidR="0021652D" w:rsidRPr="00B415E3" w:rsidRDefault="001B2301" w:rsidP="00D91A11">
            <w:pPr>
              <w:spacing w:before="0" w:line="480" w:lineRule="auto"/>
            </w:pPr>
            <w:r w:rsidRPr="00B415E3">
              <w:rPr>
                <w:noProof/>
                <w:lang w:val="es-ES" w:eastAsia="es-ES"/>
              </w:rPr>
              <w:drawing>
                <wp:inline distT="0" distB="0" distL="0" distR="0" wp14:anchorId="7D544D14" wp14:editId="1C756BF5">
                  <wp:extent cx="2624667" cy="2302934"/>
                  <wp:effectExtent l="0" t="0" r="4445" b="2540"/>
                  <wp:docPr id="7" name="image4.png" descr="farmheroessaga"/>
                  <wp:cNvGraphicFramePr/>
                  <a:graphic xmlns:a="http://schemas.openxmlformats.org/drawingml/2006/main">
                    <a:graphicData uri="http://schemas.openxmlformats.org/drawingml/2006/picture">
                      <pic:pic xmlns:pic="http://schemas.openxmlformats.org/drawingml/2006/picture">
                        <pic:nvPicPr>
                          <pic:cNvPr id="0" name="image4.png" descr="farmheroessaga"/>
                          <pic:cNvPicPr preferRelativeResize="0"/>
                        </pic:nvPicPr>
                        <pic:blipFill>
                          <a:blip r:embed="rId10"/>
                          <a:srcRect/>
                          <a:stretch>
                            <a:fillRect/>
                          </a:stretch>
                        </pic:blipFill>
                        <pic:spPr>
                          <a:xfrm>
                            <a:off x="0" y="0"/>
                            <a:ext cx="2636169" cy="2313026"/>
                          </a:xfrm>
                          <a:prstGeom prst="rect">
                            <a:avLst/>
                          </a:prstGeom>
                          <a:ln/>
                        </pic:spPr>
                      </pic:pic>
                    </a:graphicData>
                  </a:graphic>
                </wp:inline>
              </w:drawing>
            </w:r>
          </w:p>
        </w:tc>
        <w:tc>
          <w:tcPr>
            <w:tcW w:w="5288" w:type="dxa"/>
          </w:tcPr>
          <w:p w14:paraId="762B7D00" w14:textId="77777777" w:rsidR="0021652D" w:rsidRPr="00B415E3" w:rsidRDefault="001B2301" w:rsidP="00D91A11">
            <w:pPr>
              <w:spacing w:before="0" w:line="480" w:lineRule="auto"/>
            </w:pPr>
            <w:r w:rsidRPr="00B415E3">
              <w:rPr>
                <w:noProof/>
                <w:lang w:val="es-ES" w:eastAsia="es-ES"/>
              </w:rPr>
              <w:drawing>
                <wp:inline distT="0" distB="0" distL="0" distR="0" wp14:anchorId="677B7DC8" wp14:editId="6B58D3E9">
                  <wp:extent cx="2438400" cy="2294048"/>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49795" cy="2304768"/>
                          </a:xfrm>
                          <a:prstGeom prst="rect">
                            <a:avLst/>
                          </a:prstGeom>
                          <a:ln/>
                        </pic:spPr>
                      </pic:pic>
                    </a:graphicData>
                  </a:graphic>
                </wp:inline>
              </w:drawing>
            </w:r>
          </w:p>
        </w:tc>
      </w:tr>
    </w:tbl>
    <w:p w14:paraId="1EC2DD6B" w14:textId="77777777" w:rsidR="0021652D" w:rsidRPr="00B415E3" w:rsidRDefault="001B2301">
      <w:pPr>
        <w:pStyle w:val="Heading2"/>
        <w:numPr>
          <w:ilvl w:val="1"/>
          <w:numId w:val="2"/>
        </w:numPr>
        <w:spacing w:line="480" w:lineRule="auto"/>
        <w:rPr>
          <w:color w:val="auto"/>
        </w:rPr>
      </w:pPr>
      <w:r w:rsidRPr="00B415E3">
        <w:rPr>
          <w:color w:val="auto"/>
        </w:rPr>
        <w:t>Subjects</w:t>
      </w:r>
    </w:p>
    <w:p w14:paraId="34B50979" w14:textId="610985AE" w:rsidR="0021652D" w:rsidRPr="00B415E3" w:rsidRDefault="001B2301">
      <w:pPr>
        <w:spacing w:line="480" w:lineRule="auto"/>
        <w:rPr>
          <w:sz w:val="24"/>
          <w:szCs w:val="24"/>
        </w:rPr>
      </w:pPr>
      <w:r w:rsidRPr="00B415E3">
        <w:rPr>
          <w:sz w:val="24"/>
          <w:szCs w:val="24"/>
        </w:rPr>
        <w:t xml:space="preserve">We </w:t>
      </w:r>
      <w:r w:rsidR="00321F8C" w:rsidRPr="00B415E3">
        <w:rPr>
          <w:sz w:val="24"/>
          <w:szCs w:val="24"/>
        </w:rPr>
        <w:t>advertised the data collection to</w:t>
      </w:r>
      <w:r w:rsidRPr="00B415E3">
        <w:rPr>
          <w:sz w:val="24"/>
          <w:szCs w:val="24"/>
        </w:rPr>
        <w:t xml:space="preserve"> 393 </w:t>
      </w:r>
      <w:r w:rsidR="00321F8C" w:rsidRPr="00B415E3">
        <w:rPr>
          <w:sz w:val="24"/>
          <w:szCs w:val="24"/>
        </w:rPr>
        <w:t>participants</w:t>
      </w:r>
      <w:r w:rsidRPr="00B415E3">
        <w:rPr>
          <w:sz w:val="24"/>
          <w:szCs w:val="24"/>
        </w:rPr>
        <w:t xml:space="preserve">. They were informed in advance about what information would be recorded and that their personal information would be kept confidential. The participants were asked to voluntarily participate in our data collection, and their incentive to participate was the enjoyment of playing the game, achieving different game levels and competing with friends in their social network. Their ranking in the game would be their reward. Social games like the one in question are called “free to play games”, and serve as a good example of hedonic environments, which is the focus of this work. We conducted the data collection in this way, as our goal was to monitor the online gaming behaviour in a natural environment without extra manipulations. The participants’ task was to play the game as they would normally do. The only requirement to participate in the data collection was that the subjects had not played the game before, to ensure that they were all at the same level of experience as well as at zero engagement saturation in this particular game. Our intention was not to record or control their experience with other games, mimicking the process during which a game designer launches a new game. In such </w:t>
      </w:r>
      <w:r w:rsidRPr="00B415E3">
        <w:rPr>
          <w:sz w:val="24"/>
          <w:szCs w:val="24"/>
        </w:rPr>
        <w:lastRenderedPageBreak/>
        <w:t>a process, the game designer advertises the game and the players who choose to play it might have experience with other games or not, but they certainly do not have experience with the game in question.</w:t>
      </w:r>
    </w:p>
    <w:p w14:paraId="203928E5" w14:textId="25A9856D" w:rsidR="0021652D" w:rsidRPr="00B415E3" w:rsidRDefault="001B2301">
      <w:pPr>
        <w:spacing w:line="480" w:lineRule="auto"/>
        <w:rPr>
          <w:sz w:val="24"/>
          <w:szCs w:val="24"/>
        </w:rPr>
      </w:pPr>
      <w:r w:rsidRPr="00B415E3">
        <w:rPr>
          <w:sz w:val="24"/>
          <w:szCs w:val="24"/>
        </w:rPr>
        <w:t>Out of these 393 subjects 212 accepted to participate (36.3% female, 63.7% male</w:t>
      </w:r>
      <w:r w:rsidR="00321F8C" w:rsidRPr="00B415E3">
        <w:rPr>
          <w:sz w:val="24"/>
          <w:szCs w:val="24"/>
        </w:rPr>
        <w:t>, age [23-30]).</w:t>
      </w:r>
      <w:r w:rsidRPr="00B415E3">
        <w:rPr>
          <w:sz w:val="24"/>
          <w:szCs w:val="24"/>
          <w:vertAlign w:val="superscript"/>
        </w:rPr>
        <w:footnoteReference w:id="7"/>
      </w:r>
      <w:r w:rsidR="00321F8C" w:rsidRPr="00B415E3">
        <w:rPr>
          <w:sz w:val="24"/>
          <w:szCs w:val="24"/>
        </w:rPr>
        <w:t xml:space="preserve"> </w:t>
      </w:r>
      <w:r w:rsidRPr="00B415E3">
        <w:rPr>
          <w:sz w:val="24"/>
          <w:szCs w:val="24"/>
        </w:rPr>
        <w:t xml:space="preserve">The subjects were graduate students enrolled in a full-time one-year master’s program. This sample is suitable for our data collection, because the chosen cohort were young (age [23-30]) and tech-savvy individuals who were aware of social elements such as game </w:t>
      </w:r>
      <w:r w:rsidR="0013000F" w:rsidRPr="00B415E3">
        <w:rPr>
          <w:sz w:val="24"/>
          <w:szCs w:val="24"/>
        </w:rPr>
        <w:t>leaderboards and</w:t>
      </w:r>
      <w:r w:rsidRPr="00B415E3">
        <w:rPr>
          <w:sz w:val="24"/>
          <w:szCs w:val="24"/>
        </w:rPr>
        <w:t xml:space="preserve"> tend to play social online games. Furthermore, using graduate students in this data collection can be considered similar to other contemporary population samples because graduate student learned behaviours were not used in the data collection, incentives were not provided for participation nor were they used to evaluate the collected data in any way (Exadaktylos 2013</w:t>
      </w:r>
      <w:r w:rsidR="007958F1">
        <w:rPr>
          <w:sz w:val="24"/>
          <w:szCs w:val="24"/>
        </w:rPr>
        <w:t>;</w:t>
      </w:r>
      <w:r w:rsidR="005D5AE2">
        <w:rPr>
          <w:sz w:val="24"/>
          <w:szCs w:val="24"/>
        </w:rPr>
        <w:t xml:space="preserve"> Valogianni et al. 2020</w:t>
      </w:r>
      <w:r w:rsidRPr="00B415E3">
        <w:rPr>
          <w:sz w:val="24"/>
          <w:szCs w:val="24"/>
        </w:rPr>
        <w:t>). In order to monitor their progress, we immersed ourselves in the subjects’ network and we supervised the whole process throughout the course of the data collection. In addition, no participant drop-outs were observed during the data collection.</w:t>
      </w:r>
    </w:p>
    <w:p w14:paraId="4BE2AD09" w14:textId="77777777" w:rsidR="0021652D" w:rsidRPr="00B415E3" w:rsidRDefault="001B2301">
      <w:pPr>
        <w:spacing w:line="480" w:lineRule="auto"/>
        <w:rPr>
          <w:sz w:val="24"/>
          <w:szCs w:val="24"/>
        </w:rPr>
      </w:pPr>
      <w:r w:rsidRPr="00B415E3">
        <w:rPr>
          <w:sz w:val="24"/>
          <w:szCs w:val="24"/>
        </w:rPr>
        <w:t xml:space="preserve">In order to administer the presented data collection, we followed an approach similar to the one followed by online game designers. We advertised the game to 393 potential users, and 212 accepted to play. It might have been that some of the 212 players were already friends before the game or not, but for each of these 212 players, the social comparison took place only with their friends in their social network that play the game. Similarly to online social game designers, we were agnostic to their prior underlying social relationships. As the objective of our study is to show </w:t>
      </w:r>
      <w:r w:rsidRPr="00B415E3">
        <w:rPr>
          <w:sz w:val="24"/>
          <w:szCs w:val="24"/>
        </w:rPr>
        <w:lastRenderedPageBreak/>
        <w:t xml:space="preserve">that social comparison among one person’s real or virtual friends can create incentives for game continuance, this ex-ante relationship agnosticism was desirable. </w:t>
      </w:r>
    </w:p>
    <w:p w14:paraId="521515EC" w14:textId="77777777" w:rsidR="0021652D" w:rsidRPr="00B415E3" w:rsidRDefault="001B2301">
      <w:pPr>
        <w:pStyle w:val="Heading2"/>
        <w:numPr>
          <w:ilvl w:val="1"/>
          <w:numId w:val="2"/>
        </w:numPr>
        <w:spacing w:line="480" w:lineRule="auto"/>
        <w:rPr>
          <w:color w:val="auto"/>
        </w:rPr>
      </w:pPr>
      <w:r w:rsidRPr="00B415E3">
        <w:rPr>
          <w:color w:val="auto"/>
        </w:rPr>
        <w:t xml:space="preserve">Design and procedure </w:t>
      </w:r>
    </w:p>
    <w:p w14:paraId="0DF6EEE8" w14:textId="77777777" w:rsidR="0021652D" w:rsidRPr="00B415E3" w:rsidRDefault="001B2301">
      <w:pPr>
        <w:spacing w:line="480" w:lineRule="auto"/>
        <w:rPr>
          <w:sz w:val="24"/>
          <w:szCs w:val="24"/>
        </w:rPr>
      </w:pPr>
      <w:r w:rsidRPr="00B415E3">
        <w:rPr>
          <w:sz w:val="24"/>
          <w:szCs w:val="24"/>
        </w:rPr>
        <w:t>Our study adopted a prospective design over the course of two weeks. First, the respondents completed a pre-test online questionnaire with demographic information. Two weeks after (i.e., in time T1), the respondents filled an online questionnaire with questions related to social comparison directions, online social gaming self-efficacy, enjoyment and behavioural intentions (as shown in Appendix A), which are the main constructs of our model presented below. In time T1, in addition to the questionnaire responses, we measured the actual game level that each participant achieved.</w:t>
      </w:r>
      <w:r w:rsidRPr="00B415E3">
        <w:rPr>
          <w:sz w:val="24"/>
          <w:szCs w:val="24"/>
          <w:vertAlign w:val="superscript"/>
        </w:rPr>
        <w:footnoteReference w:id="8"/>
      </w:r>
      <w:r w:rsidRPr="00B415E3">
        <w:rPr>
          <w:sz w:val="24"/>
          <w:szCs w:val="24"/>
        </w:rPr>
        <w:t xml:space="preserve"> The respondents did not know when T1 would take place, resembling a natural environment where they just have to play the game. They only knew that T1 would be the same for all participants. Their task was to start playing the game, and we informed them that at some unknown point in time we would request them to fill in an online questionnaire and we would measure their level in the game. Once we sent out the online questionnaire, they knew that at the same time their game level would be measured (actual behaviour), but they were not aware of the exact timing that the questionnaire would be sent out.</w:t>
      </w:r>
    </w:p>
    <w:p w14:paraId="5537EA89" w14:textId="77777777" w:rsidR="0021652D" w:rsidRPr="00B415E3" w:rsidRDefault="001B2301">
      <w:pPr>
        <w:spacing w:after="240" w:line="480" w:lineRule="auto"/>
        <w:rPr>
          <w:sz w:val="24"/>
          <w:szCs w:val="24"/>
        </w:rPr>
      </w:pPr>
      <w:r w:rsidRPr="00B415E3">
        <w:rPr>
          <w:sz w:val="24"/>
          <w:szCs w:val="24"/>
        </w:rPr>
        <w:t xml:space="preserve">Furthermore, all participants belong to the same graduate program cohort, therefore, they all have the same study schedule, class attendance obligations (9:00 to 15:00 mandatory daily class attendance), study trips, and very similar free time. In addition, when the data collection took place, there were no exogenous events (such as exams, etc.) that could distort the time available for </w:t>
      </w:r>
      <w:r w:rsidRPr="00B415E3">
        <w:rPr>
          <w:sz w:val="24"/>
          <w:szCs w:val="24"/>
        </w:rPr>
        <w:lastRenderedPageBreak/>
        <w:t>playing the game. Thus, because of this schedule homogeneity in our population, their time availability to play the game is very comparable, considering also that many of their free-time activities are common for all of them (cohort-organized free time activities, celebrations, trips, etc.).</w:t>
      </w:r>
    </w:p>
    <w:p w14:paraId="5D2D62B5" w14:textId="77777777" w:rsidR="0021652D" w:rsidRPr="00B415E3" w:rsidRDefault="001B2301">
      <w:pPr>
        <w:pStyle w:val="Heading2"/>
        <w:numPr>
          <w:ilvl w:val="1"/>
          <w:numId w:val="2"/>
        </w:numPr>
        <w:spacing w:line="480" w:lineRule="auto"/>
        <w:rPr>
          <w:color w:val="auto"/>
        </w:rPr>
      </w:pPr>
      <w:r w:rsidRPr="00B415E3">
        <w:rPr>
          <w:color w:val="auto"/>
        </w:rPr>
        <w:t>Measurement Variables</w:t>
      </w:r>
    </w:p>
    <w:p w14:paraId="3130AAE6" w14:textId="3DD3DC2C" w:rsidR="0021652D" w:rsidRPr="00B415E3" w:rsidRDefault="001B2301">
      <w:pPr>
        <w:spacing w:line="480" w:lineRule="auto"/>
        <w:rPr>
          <w:sz w:val="24"/>
          <w:szCs w:val="24"/>
        </w:rPr>
      </w:pPr>
      <w:r w:rsidRPr="00B415E3">
        <w:rPr>
          <w:sz w:val="24"/>
          <w:szCs w:val="24"/>
        </w:rPr>
        <w:t>Except for demographic variables, all study variables were assessed using established scales. All self-reported items were measured using a seven-point Likert scale, and are listed in Appendix A. The four social comparison constructs were measured using sixteen items adapted from Van der Zee et al. (1999</w:t>
      </w:r>
      <w:r w:rsidR="007958F1">
        <w:rPr>
          <w:sz w:val="24"/>
          <w:szCs w:val="24"/>
        </w:rPr>
        <w:t>;</w:t>
      </w:r>
      <w:r w:rsidRPr="00B415E3">
        <w:rPr>
          <w:sz w:val="24"/>
          <w:szCs w:val="24"/>
        </w:rPr>
        <w:t xml:space="preserve"> 2000). The online social gaming self-efficacy was measured using four items adapted from Venkatesh (2000). The construct of Perceived Enjoyment (PE) was measured using four items following Ryan et al. (2006). The continuance intention to play was assessed with four items adapted from Hsiao et al. (2012a). In our data collection, besides measuring the players’ intention to continue playing via the online questionnaire, we recorded their actual behaviour. This was measured by their progress (game level achieved) in the game in time period T1. In order to have access to this information, we asked the participants to add us as friends in the game in the beginning of the data collection, so we could observe their progress. The participants were informed that we would be monitoring their game levels once they filled the online survey. However, this information did not influence their continuance behaviour, as they did not receive any incentive for continuing to play or not, therefore, they could freely decide one or the other.</w:t>
      </w:r>
    </w:p>
    <w:p w14:paraId="3318F7AC" w14:textId="77777777" w:rsidR="0021652D" w:rsidRPr="00B415E3" w:rsidRDefault="001B2301">
      <w:pPr>
        <w:pStyle w:val="Heading1"/>
        <w:numPr>
          <w:ilvl w:val="0"/>
          <w:numId w:val="2"/>
        </w:numPr>
        <w:spacing w:line="480" w:lineRule="auto"/>
        <w:rPr>
          <w:color w:val="auto"/>
        </w:rPr>
      </w:pPr>
      <w:r w:rsidRPr="00B415E3">
        <w:rPr>
          <w:color w:val="auto"/>
        </w:rPr>
        <w:lastRenderedPageBreak/>
        <w:t>Data Analysis and Findings</w:t>
      </w:r>
    </w:p>
    <w:p w14:paraId="5FE24B36" w14:textId="1793E3E5" w:rsidR="0021652D" w:rsidRPr="00B415E3" w:rsidRDefault="001B2301">
      <w:pPr>
        <w:spacing w:line="480" w:lineRule="auto"/>
        <w:rPr>
          <w:sz w:val="24"/>
          <w:szCs w:val="24"/>
        </w:rPr>
      </w:pPr>
      <w:r w:rsidRPr="00B415E3">
        <w:rPr>
          <w:sz w:val="24"/>
          <w:szCs w:val="24"/>
        </w:rPr>
        <w:t>The model summarized in Figure 1 was tested using the Partial Least Squares-Structural Equation Modeling (PLS-SEM) method. PLS-SEM was chosen for its capability to accommodate complex models (Chin 2010) and small-sized samples. Our sample size of 212 subjects is suitable for our PLS-SEM model, since our largest construct includes 4 variables and according to the empirical rule we should have a sample 10 times bigger that the number of variables included in the largest construct (Marcoulides et al. 2006). Additionally, we opted for PLS-SEM because the objective of this study is the explanation of variance (Hair et al. 2017</w:t>
      </w:r>
      <w:r w:rsidR="008D539A">
        <w:rPr>
          <w:sz w:val="24"/>
          <w:szCs w:val="24"/>
        </w:rPr>
        <w:t>;</w:t>
      </w:r>
      <w:r w:rsidR="00D91A11" w:rsidRPr="00B415E3">
        <w:rPr>
          <w:sz w:val="24"/>
          <w:szCs w:val="24"/>
        </w:rPr>
        <w:t xml:space="preserve"> </w:t>
      </w:r>
      <w:r w:rsidRPr="00B415E3">
        <w:rPr>
          <w:sz w:val="24"/>
          <w:szCs w:val="24"/>
        </w:rPr>
        <w:t>Ringle et al. 2012</w:t>
      </w:r>
      <w:r w:rsidR="008D539A">
        <w:rPr>
          <w:sz w:val="24"/>
          <w:szCs w:val="24"/>
        </w:rPr>
        <w:t>;</w:t>
      </w:r>
      <w:r w:rsidRPr="00B415E3">
        <w:rPr>
          <w:sz w:val="24"/>
          <w:szCs w:val="24"/>
        </w:rPr>
        <w:t xml:space="preserve"> Sarstedt et al. 2017). We assessed the measurement and structural models using SmartPLS version 3.0 (Ringle et al. 2015). The bootstrapping method (5000 resample) was used to test the path coefficients significance (Hair et al. 2017). </w:t>
      </w:r>
    </w:p>
    <w:p w14:paraId="076C4CA2" w14:textId="77777777" w:rsidR="0021652D" w:rsidRPr="00B415E3" w:rsidRDefault="001B2301">
      <w:pPr>
        <w:pStyle w:val="Heading2"/>
        <w:numPr>
          <w:ilvl w:val="1"/>
          <w:numId w:val="2"/>
        </w:numPr>
        <w:spacing w:line="480" w:lineRule="auto"/>
        <w:rPr>
          <w:color w:val="auto"/>
        </w:rPr>
      </w:pPr>
      <w:r w:rsidRPr="00B415E3">
        <w:rPr>
          <w:color w:val="auto"/>
        </w:rPr>
        <w:t>The Measurement Model</w:t>
      </w:r>
    </w:p>
    <w:p w14:paraId="60C4998C" w14:textId="1F9A99A4" w:rsidR="0021652D" w:rsidRDefault="001B2301">
      <w:pPr>
        <w:spacing w:line="480" w:lineRule="auto"/>
        <w:rPr>
          <w:sz w:val="24"/>
          <w:szCs w:val="24"/>
        </w:rPr>
      </w:pPr>
      <w:r w:rsidRPr="00B415E3">
        <w:rPr>
          <w:sz w:val="24"/>
          <w:szCs w:val="24"/>
        </w:rPr>
        <w:t>The measurement model was evaluated using reliability, convergent and discriminant validity tests. The reliability test showed that all Cronbach’s alphas and composite reliabilities are higher than 0.7 (Chin 1998), as presented in Table 1. Convergent validity was evaluated using Average Variance Extracted (AVE) scores and factor loadings. The results reported in Table 1 show that all AVE scores are above the recommended threshold of 0.5 (Fornell-Larcker, 1981). Factor loadings and cross loadings (as reported in Appendix B) show that all factor loadings are all above the recommended threshold of 0.70 (Chin 1998) and all the items showed higher factor loadings with their respective construct than the loadings on other constructs.</w:t>
      </w:r>
    </w:p>
    <w:p w14:paraId="0904ED11" w14:textId="77777777" w:rsidR="008D539A" w:rsidRPr="00B415E3" w:rsidRDefault="008D539A">
      <w:pPr>
        <w:spacing w:line="480" w:lineRule="auto"/>
      </w:pPr>
    </w:p>
    <w:tbl>
      <w:tblPr>
        <w:tblStyle w:val="aa"/>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756"/>
        <w:gridCol w:w="750"/>
        <w:gridCol w:w="637"/>
        <w:gridCol w:w="637"/>
        <w:gridCol w:w="705"/>
        <w:gridCol w:w="642"/>
        <w:gridCol w:w="637"/>
        <w:gridCol w:w="637"/>
        <w:gridCol w:w="618"/>
        <w:gridCol w:w="566"/>
        <w:gridCol w:w="566"/>
        <w:gridCol w:w="566"/>
        <w:gridCol w:w="657"/>
      </w:tblGrid>
      <w:tr w:rsidR="00B415E3" w:rsidRPr="00B415E3" w14:paraId="45AA6220" w14:textId="77777777">
        <w:tc>
          <w:tcPr>
            <w:tcW w:w="8931" w:type="dxa"/>
            <w:gridSpan w:val="14"/>
            <w:tcBorders>
              <w:top w:val="nil"/>
              <w:left w:val="nil"/>
              <w:bottom w:val="single" w:sz="4" w:space="0" w:color="000000"/>
              <w:right w:val="nil"/>
            </w:tcBorders>
          </w:tcPr>
          <w:p w14:paraId="714380A0" w14:textId="77777777" w:rsidR="0021652D" w:rsidRPr="00B415E3" w:rsidRDefault="001B2301">
            <w:pPr>
              <w:spacing w:before="0" w:line="480" w:lineRule="auto"/>
              <w:rPr>
                <w:sz w:val="20"/>
                <w:szCs w:val="20"/>
              </w:rPr>
            </w:pPr>
            <w:r w:rsidRPr="00B415E3">
              <w:rPr>
                <w:sz w:val="20"/>
                <w:szCs w:val="20"/>
              </w:rPr>
              <w:lastRenderedPageBreak/>
              <w:t xml:space="preserve"> Table 1 – The measurement model: reliability results.</w:t>
            </w:r>
          </w:p>
        </w:tc>
      </w:tr>
      <w:tr w:rsidR="00B415E3" w:rsidRPr="00B415E3" w14:paraId="0B76A28F" w14:textId="77777777">
        <w:tc>
          <w:tcPr>
            <w:tcW w:w="557" w:type="dxa"/>
            <w:tcBorders>
              <w:top w:val="single" w:sz="4" w:space="0" w:color="000000"/>
              <w:left w:val="nil"/>
              <w:bottom w:val="nil"/>
              <w:right w:val="nil"/>
            </w:tcBorders>
          </w:tcPr>
          <w:p w14:paraId="348343F6" w14:textId="77777777" w:rsidR="0021652D" w:rsidRPr="00B415E3" w:rsidRDefault="0021652D">
            <w:pPr>
              <w:spacing w:before="0"/>
              <w:rPr>
                <w:sz w:val="20"/>
                <w:szCs w:val="20"/>
              </w:rPr>
            </w:pPr>
          </w:p>
        </w:tc>
        <w:tc>
          <w:tcPr>
            <w:tcW w:w="756" w:type="dxa"/>
            <w:tcBorders>
              <w:top w:val="single" w:sz="4" w:space="0" w:color="000000"/>
              <w:left w:val="nil"/>
              <w:bottom w:val="nil"/>
              <w:right w:val="nil"/>
            </w:tcBorders>
          </w:tcPr>
          <w:p w14:paraId="2AD30225" w14:textId="77777777" w:rsidR="0021652D" w:rsidRPr="00B415E3" w:rsidRDefault="0021652D">
            <w:pPr>
              <w:spacing w:before="0"/>
              <w:rPr>
                <w:sz w:val="20"/>
                <w:szCs w:val="20"/>
              </w:rPr>
            </w:pPr>
          </w:p>
        </w:tc>
        <w:tc>
          <w:tcPr>
            <w:tcW w:w="750" w:type="dxa"/>
            <w:tcBorders>
              <w:top w:val="single" w:sz="4" w:space="0" w:color="000000"/>
              <w:left w:val="nil"/>
              <w:bottom w:val="nil"/>
              <w:right w:val="nil"/>
            </w:tcBorders>
          </w:tcPr>
          <w:p w14:paraId="7C060DBE" w14:textId="77777777" w:rsidR="0021652D" w:rsidRPr="00B415E3" w:rsidRDefault="0021652D">
            <w:pPr>
              <w:spacing w:before="0"/>
              <w:rPr>
                <w:sz w:val="20"/>
                <w:szCs w:val="20"/>
              </w:rPr>
            </w:pPr>
          </w:p>
        </w:tc>
        <w:tc>
          <w:tcPr>
            <w:tcW w:w="637" w:type="dxa"/>
            <w:tcBorders>
              <w:top w:val="single" w:sz="4" w:space="0" w:color="000000"/>
              <w:left w:val="nil"/>
              <w:bottom w:val="nil"/>
              <w:right w:val="nil"/>
            </w:tcBorders>
          </w:tcPr>
          <w:p w14:paraId="0F4A3D18" w14:textId="77777777" w:rsidR="0021652D" w:rsidRPr="00B415E3" w:rsidRDefault="0021652D">
            <w:pPr>
              <w:spacing w:before="0"/>
              <w:rPr>
                <w:sz w:val="20"/>
                <w:szCs w:val="20"/>
              </w:rPr>
            </w:pPr>
          </w:p>
        </w:tc>
        <w:tc>
          <w:tcPr>
            <w:tcW w:w="637" w:type="dxa"/>
            <w:tcBorders>
              <w:top w:val="single" w:sz="4" w:space="0" w:color="000000"/>
              <w:left w:val="nil"/>
              <w:bottom w:val="nil"/>
              <w:right w:val="nil"/>
            </w:tcBorders>
          </w:tcPr>
          <w:p w14:paraId="2E1679FE" w14:textId="77777777" w:rsidR="0021652D" w:rsidRPr="00B415E3" w:rsidRDefault="0021652D">
            <w:pPr>
              <w:spacing w:before="0"/>
              <w:rPr>
                <w:sz w:val="20"/>
                <w:szCs w:val="20"/>
              </w:rPr>
            </w:pPr>
          </w:p>
        </w:tc>
        <w:tc>
          <w:tcPr>
            <w:tcW w:w="705" w:type="dxa"/>
            <w:tcBorders>
              <w:top w:val="single" w:sz="4" w:space="0" w:color="000000"/>
              <w:left w:val="nil"/>
              <w:bottom w:val="nil"/>
              <w:right w:val="nil"/>
            </w:tcBorders>
          </w:tcPr>
          <w:p w14:paraId="2F52C88F" w14:textId="77777777" w:rsidR="0021652D" w:rsidRPr="00B415E3" w:rsidRDefault="0021652D">
            <w:pPr>
              <w:spacing w:before="0"/>
              <w:rPr>
                <w:sz w:val="20"/>
                <w:szCs w:val="20"/>
              </w:rPr>
            </w:pPr>
          </w:p>
        </w:tc>
        <w:tc>
          <w:tcPr>
            <w:tcW w:w="4889" w:type="dxa"/>
            <w:gridSpan w:val="8"/>
            <w:tcBorders>
              <w:top w:val="single" w:sz="4" w:space="0" w:color="000000"/>
              <w:left w:val="nil"/>
              <w:bottom w:val="single" w:sz="4" w:space="0" w:color="000000"/>
              <w:right w:val="nil"/>
            </w:tcBorders>
          </w:tcPr>
          <w:p w14:paraId="15E4F423" w14:textId="77777777" w:rsidR="0021652D" w:rsidRPr="00B415E3" w:rsidRDefault="001B2301">
            <w:pPr>
              <w:spacing w:before="0"/>
              <w:jc w:val="center"/>
              <w:rPr>
                <w:sz w:val="20"/>
                <w:szCs w:val="20"/>
              </w:rPr>
            </w:pPr>
            <w:r w:rsidRPr="00B415E3">
              <w:rPr>
                <w:sz w:val="20"/>
                <w:szCs w:val="20"/>
              </w:rPr>
              <w:t>Correlation Matrix</w:t>
            </w:r>
          </w:p>
        </w:tc>
      </w:tr>
      <w:tr w:rsidR="00B415E3" w:rsidRPr="00B415E3" w14:paraId="5287AE8C" w14:textId="77777777">
        <w:tc>
          <w:tcPr>
            <w:tcW w:w="557" w:type="dxa"/>
            <w:tcBorders>
              <w:top w:val="nil"/>
              <w:left w:val="nil"/>
              <w:bottom w:val="single" w:sz="4" w:space="0" w:color="000000"/>
              <w:right w:val="nil"/>
            </w:tcBorders>
          </w:tcPr>
          <w:p w14:paraId="6146F222" w14:textId="77777777" w:rsidR="0021652D" w:rsidRPr="00B415E3" w:rsidRDefault="0021652D">
            <w:pPr>
              <w:spacing w:before="0"/>
              <w:rPr>
                <w:sz w:val="20"/>
                <w:szCs w:val="20"/>
              </w:rPr>
            </w:pPr>
          </w:p>
        </w:tc>
        <w:tc>
          <w:tcPr>
            <w:tcW w:w="756" w:type="dxa"/>
            <w:tcBorders>
              <w:top w:val="nil"/>
              <w:left w:val="nil"/>
              <w:bottom w:val="single" w:sz="4" w:space="0" w:color="000000"/>
              <w:right w:val="nil"/>
            </w:tcBorders>
          </w:tcPr>
          <w:p w14:paraId="79C3E64D" w14:textId="77777777" w:rsidR="0021652D" w:rsidRPr="00B415E3" w:rsidRDefault="001B2301">
            <w:pPr>
              <w:spacing w:before="0"/>
              <w:rPr>
                <w:sz w:val="20"/>
                <w:szCs w:val="20"/>
              </w:rPr>
            </w:pPr>
            <w:r w:rsidRPr="00B415E3">
              <w:rPr>
                <w:sz w:val="20"/>
                <w:szCs w:val="20"/>
              </w:rPr>
              <w:t>Mean</w:t>
            </w:r>
          </w:p>
        </w:tc>
        <w:tc>
          <w:tcPr>
            <w:tcW w:w="750" w:type="dxa"/>
            <w:tcBorders>
              <w:top w:val="nil"/>
              <w:left w:val="nil"/>
              <w:bottom w:val="single" w:sz="4" w:space="0" w:color="000000"/>
              <w:right w:val="nil"/>
            </w:tcBorders>
          </w:tcPr>
          <w:p w14:paraId="6B672403" w14:textId="77777777" w:rsidR="0021652D" w:rsidRPr="00B415E3" w:rsidRDefault="001B2301">
            <w:pPr>
              <w:spacing w:before="0"/>
              <w:rPr>
                <w:sz w:val="20"/>
                <w:szCs w:val="20"/>
              </w:rPr>
            </w:pPr>
            <w:r w:rsidRPr="00B415E3">
              <w:rPr>
                <w:sz w:val="20"/>
                <w:szCs w:val="20"/>
              </w:rPr>
              <w:t>STD</w:t>
            </w:r>
          </w:p>
        </w:tc>
        <w:tc>
          <w:tcPr>
            <w:tcW w:w="637" w:type="dxa"/>
            <w:tcBorders>
              <w:top w:val="nil"/>
              <w:left w:val="nil"/>
              <w:bottom w:val="single" w:sz="4" w:space="0" w:color="000000"/>
              <w:right w:val="nil"/>
            </w:tcBorders>
          </w:tcPr>
          <w:p w14:paraId="6EDD73A9" w14:textId="77777777" w:rsidR="0021652D" w:rsidRPr="00B415E3" w:rsidRDefault="001B2301">
            <w:pPr>
              <w:spacing w:before="0"/>
              <w:rPr>
                <w:sz w:val="20"/>
                <w:szCs w:val="20"/>
              </w:rPr>
            </w:pPr>
            <w:r w:rsidRPr="00B415E3">
              <w:rPr>
                <w:sz w:val="20"/>
                <w:szCs w:val="20"/>
              </w:rPr>
              <w:t>CA</w:t>
            </w:r>
          </w:p>
        </w:tc>
        <w:tc>
          <w:tcPr>
            <w:tcW w:w="637" w:type="dxa"/>
            <w:tcBorders>
              <w:top w:val="nil"/>
              <w:left w:val="nil"/>
              <w:bottom w:val="single" w:sz="4" w:space="0" w:color="000000"/>
              <w:right w:val="nil"/>
            </w:tcBorders>
          </w:tcPr>
          <w:p w14:paraId="40AAFBE0" w14:textId="77777777" w:rsidR="0021652D" w:rsidRPr="00B415E3" w:rsidRDefault="001B2301">
            <w:pPr>
              <w:spacing w:before="0"/>
              <w:rPr>
                <w:sz w:val="20"/>
                <w:szCs w:val="20"/>
              </w:rPr>
            </w:pPr>
            <w:r w:rsidRPr="00B415E3">
              <w:rPr>
                <w:sz w:val="20"/>
                <w:szCs w:val="20"/>
              </w:rPr>
              <w:t>CR</w:t>
            </w:r>
          </w:p>
        </w:tc>
        <w:tc>
          <w:tcPr>
            <w:tcW w:w="705" w:type="dxa"/>
            <w:tcBorders>
              <w:top w:val="nil"/>
              <w:left w:val="nil"/>
              <w:bottom w:val="single" w:sz="4" w:space="0" w:color="000000"/>
              <w:right w:val="nil"/>
            </w:tcBorders>
          </w:tcPr>
          <w:p w14:paraId="7A8DA659" w14:textId="77777777" w:rsidR="0021652D" w:rsidRPr="00B415E3" w:rsidRDefault="001B2301">
            <w:pPr>
              <w:spacing w:before="0"/>
              <w:rPr>
                <w:sz w:val="20"/>
                <w:szCs w:val="20"/>
              </w:rPr>
            </w:pPr>
            <w:r w:rsidRPr="00B415E3">
              <w:rPr>
                <w:sz w:val="20"/>
                <w:szCs w:val="20"/>
              </w:rPr>
              <w:t>AVE</w:t>
            </w:r>
          </w:p>
        </w:tc>
        <w:tc>
          <w:tcPr>
            <w:tcW w:w="642" w:type="dxa"/>
            <w:tcBorders>
              <w:top w:val="single" w:sz="4" w:space="0" w:color="000000"/>
              <w:left w:val="nil"/>
              <w:bottom w:val="single" w:sz="4" w:space="0" w:color="000000"/>
              <w:right w:val="nil"/>
            </w:tcBorders>
          </w:tcPr>
          <w:p w14:paraId="2733ACB4" w14:textId="77777777" w:rsidR="0021652D" w:rsidRPr="00B415E3" w:rsidRDefault="001B2301">
            <w:pPr>
              <w:spacing w:before="0"/>
              <w:rPr>
                <w:sz w:val="20"/>
                <w:szCs w:val="20"/>
              </w:rPr>
            </w:pPr>
            <w:r w:rsidRPr="00B415E3">
              <w:rPr>
                <w:sz w:val="20"/>
                <w:szCs w:val="20"/>
              </w:rPr>
              <w:t>UI</w:t>
            </w:r>
          </w:p>
        </w:tc>
        <w:tc>
          <w:tcPr>
            <w:tcW w:w="637" w:type="dxa"/>
            <w:tcBorders>
              <w:top w:val="single" w:sz="4" w:space="0" w:color="000000"/>
              <w:left w:val="nil"/>
              <w:bottom w:val="single" w:sz="4" w:space="0" w:color="000000"/>
              <w:right w:val="nil"/>
            </w:tcBorders>
          </w:tcPr>
          <w:p w14:paraId="04753F59" w14:textId="77777777" w:rsidR="0021652D" w:rsidRPr="00B415E3" w:rsidRDefault="001B2301">
            <w:pPr>
              <w:spacing w:before="0"/>
              <w:rPr>
                <w:sz w:val="20"/>
                <w:szCs w:val="20"/>
              </w:rPr>
            </w:pPr>
            <w:r w:rsidRPr="00B415E3">
              <w:rPr>
                <w:sz w:val="20"/>
                <w:szCs w:val="20"/>
              </w:rPr>
              <w:t>UC</w:t>
            </w:r>
          </w:p>
        </w:tc>
        <w:tc>
          <w:tcPr>
            <w:tcW w:w="637" w:type="dxa"/>
            <w:tcBorders>
              <w:top w:val="single" w:sz="4" w:space="0" w:color="000000"/>
              <w:left w:val="nil"/>
              <w:bottom w:val="single" w:sz="4" w:space="0" w:color="000000"/>
              <w:right w:val="nil"/>
            </w:tcBorders>
          </w:tcPr>
          <w:p w14:paraId="210BF786" w14:textId="77777777" w:rsidR="0021652D" w:rsidRPr="00B415E3" w:rsidRDefault="001B2301">
            <w:pPr>
              <w:spacing w:before="0"/>
              <w:rPr>
                <w:sz w:val="20"/>
                <w:szCs w:val="20"/>
              </w:rPr>
            </w:pPr>
            <w:r w:rsidRPr="00B415E3">
              <w:rPr>
                <w:sz w:val="20"/>
                <w:szCs w:val="20"/>
              </w:rPr>
              <w:t>DI</w:t>
            </w:r>
          </w:p>
        </w:tc>
        <w:tc>
          <w:tcPr>
            <w:tcW w:w="618" w:type="dxa"/>
            <w:tcBorders>
              <w:top w:val="single" w:sz="4" w:space="0" w:color="000000"/>
              <w:left w:val="nil"/>
              <w:bottom w:val="single" w:sz="4" w:space="0" w:color="000000"/>
              <w:right w:val="nil"/>
            </w:tcBorders>
          </w:tcPr>
          <w:p w14:paraId="6323A060" w14:textId="77777777" w:rsidR="0021652D" w:rsidRPr="00B415E3" w:rsidRDefault="001B2301">
            <w:pPr>
              <w:spacing w:before="0"/>
              <w:rPr>
                <w:sz w:val="20"/>
                <w:szCs w:val="20"/>
              </w:rPr>
            </w:pPr>
            <w:r w:rsidRPr="00B415E3">
              <w:rPr>
                <w:sz w:val="20"/>
                <w:szCs w:val="20"/>
              </w:rPr>
              <w:t>DC</w:t>
            </w:r>
          </w:p>
        </w:tc>
        <w:tc>
          <w:tcPr>
            <w:tcW w:w="566" w:type="dxa"/>
            <w:tcBorders>
              <w:top w:val="single" w:sz="4" w:space="0" w:color="000000"/>
              <w:left w:val="nil"/>
              <w:bottom w:val="single" w:sz="4" w:space="0" w:color="000000"/>
              <w:right w:val="nil"/>
            </w:tcBorders>
          </w:tcPr>
          <w:p w14:paraId="68CC74C4" w14:textId="77777777" w:rsidR="0021652D" w:rsidRPr="00B415E3" w:rsidRDefault="001B2301">
            <w:pPr>
              <w:spacing w:before="0"/>
              <w:rPr>
                <w:sz w:val="20"/>
                <w:szCs w:val="20"/>
              </w:rPr>
            </w:pPr>
            <w:r w:rsidRPr="00B415E3">
              <w:rPr>
                <w:sz w:val="20"/>
                <w:szCs w:val="20"/>
              </w:rPr>
              <w:t>SE</w:t>
            </w:r>
          </w:p>
        </w:tc>
        <w:tc>
          <w:tcPr>
            <w:tcW w:w="566" w:type="dxa"/>
            <w:tcBorders>
              <w:top w:val="single" w:sz="4" w:space="0" w:color="000000"/>
              <w:left w:val="nil"/>
              <w:bottom w:val="single" w:sz="4" w:space="0" w:color="000000"/>
              <w:right w:val="nil"/>
            </w:tcBorders>
          </w:tcPr>
          <w:p w14:paraId="06A860A4" w14:textId="77777777" w:rsidR="0021652D" w:rsidRPr="00B415E3" w:rsidRDefault="001B2301">
            <w:pPr>
              <w:spacing w:before="0"/>
              <w:rPr>
                <w:sz w:val="20"/>
                <w:szCs w:val="20"/>
              </w:rPr>
            </w:pPr>
            <w:r w:rsidRPr="00B415E3">
              <w:rPr>
                <w:sz w:val="20"/>
                <w:szCs w:val="20"/>
              </w:rPr>
              <w:t>PE</w:t>
            </w:r>
          </w:p>
        </w:tc>
        <w:tc>
          <w:tcPr>
            <w:tcW w:w="566" w:type="dxa"/>
            <w:tcBorders>
              <w:top w:val="single" w:sz="4" w:space="0" w:color="000000"/>
              <w:left w:val="nil"/>
              <w:bottom w:val="single" w:sz="4" w:space="0" w:color="000000"/>
              <w:right w:val="nil"/>
            </w:tcBorders>
          </w:tcPr>
          <w:p w14:paraId="04903A77" w14:textId="77777777" w:rsidR="0021652D" w:rsidRPr="00B415E3" w:rsidRDefault="001B2301">
            <w:pPr>
              <w:spacing w:before="0"/>
              <w:rPr>
                <w:sz w:val="20"/>
                <w:szCs w:val="20"/>
              </w:rPr>
            </w:pPr>
            <w:r w:rsidRPr="00B415E3">
              <w:rPr>
                <w:sz w:val="20"/>
                <w:szCs w:val="20"/>
              </w:rPr>
              <w:t>CI</w:t>
            </w:r>
          </w:p>
        </w:tc>
        <w:tc>
          <w:tcPr>
            <w:tcW w:w="657" w:type="dxa"/>
            <w:tcBorders>
              <w:top w:val="single" w:sz="4" w:space="0" w:color="000000"/>
              <w:left w:val="nil"/>
              <w:bottom w:val="single" w:sz="4" w:space="0" w:color="000000"/>
              <w:right w:val="nil"/>
            </w:tcBorders>
          </w:tcPr>
          <w:p w14:paraId="2C1F9444" w14:textId="77777777" w:rsidR="0021652D" w:rsidRPr="00B415E3" w:rsidRDefault="001B2301">
            <w:pPr>
              <w:spacing w:before="0"/>
              <w:rPr>
                <w:sz w:val="20"/>
                <w:szCs w:val="20"/>
              </w:rPr>
            </w:pPr>
            <w:r w:rsidRPr="00B415E3">
              <w:rPr>
                <w:sz w:val="20"/>
                <w:szCs w:val="20"/>
              </w:rPr>
              <w:t>T1</w:t>
            </w:r>
          </w:p>
        </w:tc>
      </w:tr>
      <w:tr w:rsidR="00B415E3" w:rsidRPr="00B415E3" w14:paraId="0FF01BD0" w14:textId="77777777">
        <w:tc>
          <w:tcPr>
            <w:tcW w:w="557" w:type="dxa"/>
            <w:tcBorders>
              <w:top w:val="single" w:sz="4" w:space="0" w:color="000000"/>
              <w:left w:val="nil"/>
              <w:bottom w:val="nil"/>
              <w:right w:val="nil"/>
            </w:tcBorders>
          </w:tcPr>
          <w:p w14:paraId="3A401364" w14:textId="77777777" w:rsidR="0021652D" w:rsidRPr="00B415E3" w:rsidRDefault="001B2301">
            <w:pPr>
              <w:spacing w:before="0"/>
              <w:rPr>
                <w:sz w:val="20"/>
                <w:szCs w:val="20"/>
              </w:rPr>
            </w:pPr>
            <w:r w:rsidRPr="00B415E3">
              <w:rPr>
                <w:sz w:val="20"/>
                <w:szCs w:val="20"/>
              </w:rPr>
              <w:t>UI</w:t>
            </w:r>
          </w:p>
        </w:tc>
        <w:tc>
          <w:tcPr>
            <w:tcW w:w="756" w:type="dxa"/>
            <w:tcBorders>
              <w:top w:val="single" w:sz="4" w:space="0" w:color="000000"/>
              <w:left w:val="nil"/>
              <w:bottom w:val="nil"/>
              <w:right w:val="nil"/>
            </w:tcBorders>
          </w:tcPr>
          <w:p w14:paraId="4734B7B3" w14:textId="77777777" w:rsidR="0021652D" w:rsidRPr="00B415E3" w:rsidRDefault="001B2301">
            <w:pPr>
              <w:spacing w:before="0"/>
              <w:jc w:val="right"/>
              <w:rPr>
                <w:sz w:val="20"/>
                <w:szCs w:val="20"/>
              </w:rPr>
            </w:pPr>
            <w:r w:rsidRPr="00B415E3">
              <w:rPr>
                <w:sz w:val="20"/>
                <w:szCs w:val="20"/>
              </w:rPr>
              <w:t>4.42</w:t>
            </w:r>
          </w:p>
        </w:tc>
        <w:tc>
          <w:tcPr>
            <w:tcW w:w="750" w:type="dxa"/>
            <w:tcBorders>
              <w:top w:val="single" w:sz="4" w:space="0" w:color="000000"/>
              <w:left w:val="nil"/>
              <w:bottom w:val="nil"/>
              <w:right w:val="nil"/>
            </w:tcBorders>
          </w:tcPr>
          <w:p w14:paraId="4C7815BC" w14:textId="77777777" w:rsidR="0021652D" w:rsidRPr="00B415E3" w:rsidRDefault="001B2301">
            <w:pPr>
              <w:spacing w:before="0"/>
              <w:jc w:val="right"/>
              <w:rPr>
                <w:sz w:val="20"/>
                <w:szCs w:val="20"/>
              </w:rPr>
            </w:pPr>
            <w:r w:rsidRPr="00B415E3">
              <w:rPr>
                <w:sz w:val="20"/>
                <w:szCs w:val="20"/>
              </w:rPr>
              <w:t>1.12</w:t>
            </w:r>
          </w:p>
        </w:tc>
        <w:tc>
          <w:tcPr>
            <w:tcW w:w="637" w:type="dxa"/>
            <w:tcBorders>
              <w:top w:val="single" w:sz="4" w:space="0" w:color="000000"/>
              <w:left w:val="nil"/>
              <w:bottom w:val="nil"/>
              <w:right w:val="nil"/>
            </w:tcBorders>
          </w:tcPr>
          <w:p w14:paraId="35E6A09E" w14:textId="77777777" w:rsidR="0021652D" w:rsidRPr="00B415E3" w:rsidRDefault="001B2301">
            <w:pPr>
              <w:spacing w:before="0"/>
              <w:jc w:val="right"/>
              <w:rPr>
                <w:sz w:val="20"/>
                <w:szCs w:val="20"/>
              </w:rPr>
            </w:pPr>
            <w:r w:rsidRPr="00B415E3">
              <w:rPr>
                <w:sz w:val="20"/>
                <w:szCs w:val="20"/>
              </w:rPr>
              <w:t>0.88</w:t>
            </w:r>
          </w:p>
        </w:tc>
        <w:tc>
          <w:tcPr>
            <w:tcW w:w="637" w:type="dxa"/>
            <w:tcBorders>
              <w:top w:val="single" w:sz="4" w:space="0" w:color="000000"/>
              <w:left w:val="nil"/>
              <w:bottom w:val="nil"/>
              <w:right w:val="nil"/>
            </w:tcBorders>
          </w:tcPr>
          <w:p w14:paraId="6BACA6A3" w14:textId="77777777" w:rsidR="0021652D" w:rsidRPr="00B415E3" w:rsidRDefault="001B2301">
            <w:pPr>
              <w:spacing w:before="0"/>
              <w:jc w:val="right"/>
              <w:rPr>
                <w:sz w:val="20"/>
                <w:szCs w:val="20"/>
              </w:rPr>
            </w:pPr>
            <w:r w:rsidRPr="00B415E3">
              <w:rPr>
                <w:sz w:val="20"/>
                <w:szCs w:val="20"/>
              </w:rPr>
              <w:t>0.93</w:t>
            </w:r>
          </w:p>
        </w:tc>
        <w:tc>
          <w:tcPr>
            <w:tcW w:w="705" w:type="dxa"/>
            <w:tcBorders>
              <w:top w:val="single" w:sz="4" w:space="0" w:color="000000"/>
              <w:left w:val="nil"/>
              <w:bottom w:val="nil"/>
              <w:right w:val="nil"/>
            </w:tcBorders>
          </w:tcPr>
          <w:p w14:paraId="5981A1DE" w14:textId="77777777" w:rsidR="0021652D" w:rsidRPr="00B415E3" w:rsidRDefault="001B2301">
            <w:pPr>
              <w:spacing w:before="0"/>
              <w:jc w:val="right"/>
              <w:rPr>
                <w:sz w:val="20"/>
                <w:szCs w:val="20"/>
              </w:rPr>
            </w:pPr>
            <w:r w:rsidRPr="00B415E3">
              <w:rPr>
                <w:sz w:val="20"/>
                <w:szCs w:val="20"/>
              </w:rPr>
              <w:t>0.81</w:t>
            </w:r>
          </w:p>
        </w:tc>
        <w:tc>
          <w:tcPr>
            <w:tcW w:w="642" w:type="dxa"/>
            <w:tcBorders>
              <w:top w:val="single" w:sz="4" w:space="0" w:color="000000"/>
              <w:left w:val="nil"/>
              <w:bottom w:val="nil"/>
              <w:right w:val="nil"/>
            </w:tcBorders>
          </w:tcPr>
          <w:p w14:paraId="5D2B95CB" w14:textId="77777777" w:rsidR="0021652D" w:rsidRPr="00B415E3" w:rsidRDefault="001B2301">
            <w:pPr>
              <w:spacing w:before="0"/>
              <w:jc w:val="right"/>
              <w:rPr>
                <w:b/>
                <w:sz w:val="20"/>
                <w:szCs w:val="20"/>
              </w:rPr>
            </w:pPr>
            <w:r w:rsidRPr="00B415E3">
              <w:rPr>
                <w:b/>
                <w:sz w:val="20"/>
                <w:szCs w:val="20"/>
              </w:rPr>
              <w:t>0.90</w:t>
            </w:r>
          </w:p>
        </w:tc>
        <w:tc>
          <w:tcPr>
            <w:tcW w:w="637" w:type="dxa"/>
            <w:tcBorders>
              <w:top w:val="single" w:sz="4" w:space="0" w:color="000000"/>
              <w:left w:val="nil"/>
              <w:bottom w:val="nil"/>
              <w:right w:val="nil"/>
            </w:tcBorders>
          </w:tcPr>
          <w:p w14:paraId="6C1E65E9" w14:textId="77777777" w:rsidR="0021652D" w:rsidRPr="00B415E3" w:rsidRDefault="0021652D">
            <w:pPr>
              <w:spacing w:before="0"/>
              <w:jc w:val="right"/>
              <w:rPr>
                <w:sz w:val="20"/>
                <w:szCs w:val="20"/>
              </w:rPr>
            </w:pPr>
          </w:p>
        </w:tc>
        <w:tc>
          <w:tcPr>
            <w:tcW w:w="637" w:type="dxa"/>
            <w:tcBorders>
              <w:top w:val="single" w:sz="4" w:space="0" w:color="000000"/>
              <w:left w:val="nil"/>
              <w:bottom w:val="nil"/>
              <w:right w:val="nil"/>
            </w:tcBorders>
          </w:tcPr>
          <w:p w14:paraId="65387B53" w14:textId="77777777" w:rsidR="0021652D" w:rsidRPr="00B415E3" w:rsidRDefault="0021652D">
            <w:pPr>
              <w:spacing w:before="0"/>
              <w:jc w:val="right"/>
              <w:rPr>
                <w:sz w:val="20"/>
                <w:szCs w:val="20"/>
              </w:rPr>
            </w:pPr>
          </w:p>
        </w:tc>
        <w:tc>
          <w:tcPr>
            <w:tcW w:w="618" w:type="dxa"/>
            <w:tcBorders>
              <w:top w:val="single" w:sz="4" w:space="0" w:color="000000"/>
              <w:left w:val="nil"/>
              <w:bottom w:val="nil"/>
              <w:right w:val="nil"/>
            </w:tcBorders>
          </w:tcPr>
          <w:p w14:paraId="42E01DB5" w14:textId="77777777" w:rsidR="0021652D" w:rsidRPr="00B415E3" w:rsidRDefault="0021652D">
            <w:pPr>
              <w:spacing w:before="0"/>
              <w:jc w:val="right"/>
              <w:rPr>
                <w:sz w:val="20"/>
                <w:szCs w:val="20"/>
              </w:rPr>
            </w:pPr>
          </w:p>
        </w:tc>
        <w:tc>
          <w:tcPr>
            <w:tcW w:w="566" w:type="dxa"/>
            <w:tcBorders>
              <w:top w:val="single" w:sz="4" w:space="0" w:color="000000"/>
              <w:left w:val="nil"/>
              <w:bottom w:val="nil"/>
              <w:right w:val="nil"/>
            </w:tcBorders>
          </w:tcPr>
          <w:p w14:paraId="2AE07A94" w14:textId="77777777" w:rsidR="0021652D" w:rsidRPr="00B415E3" w:rsidRDefault="0021652D">
            <w:pPr>
              <w:spacing w:before="0"/>
              <w:jc w:val="right"/>
              <w:rPr>
                <w:sz w:val="20"/>
                <w:szCs w:val="20"/>
              </w:rPr>
            </w:pPr>
          </w:p>
        </w:tc>
        <w:tc>
          <w:tcPr>
            <w:tcW w:w="566" w:type="dxa"/>
            <w:tcBorders>
              <w:top w:val="single" w:sz="4" w:space="0" w:color="000000"/>
              <w:left w:val="nil"/>
              <w:bottom w:val="nil"/>
              <w:right w:val="nil"/>
            </w:tcBorders>
          </w:tcPr>
          <w:p w14:paraId="00CB40BC" w14:textId="77777777" w:rsidR="0021652D" w:rsidRPr="00B415E3" w:rsidRDefault="0021652D">
            <w:pPr>
              <w:spacing w:before="0"/>
              <w:jc w:val="right"/>
              <w:rPr>
                <w:sz w:val="20"/>
                <w:szCs w:val="20"/>
              </w:rPr>
            </w:pPr>
          </w:p>
        </w:tc>
        <w:tc>
          <w:tcPr>
            <w:tcW w:w="566" w:type="dxa"/>
            <w:tcBorders>
              <w:top w:val="single" w:sz="4" w:space="0" w:color="000000"/>
              <w:left w:val="nil"/>
              <w:bottom w:val="nil"/>
              <w:right w:val="nil"/>
            </w:tcBorders>
          </w:tcPr>
          <w:p w14:paraId="107F0BEB" w14:textId="77777777" w:rsidR="0021652D" w:rsidRPr="00B415E3" w:rsidRDefault="0021652D">
            <w:pPr>
              <w:spacing w:before="0"/>
              <w:jc w:val="right"/>
              <w:rPr>
                <w:sz w:val="20"/>
                <w:szCs w:val="20"/>
              </w:rPr>
            </w:pPr>
          </w:p>
        </w:tc>
        <w:tc>
          <w:tcPr>
            <w:tcW w:w="657" w:type="dxa"/>
            <w:tcBorders>
              <w:top w:val="single" w:sz="4" w:space="0" w:color="000000"/>
              <w:left w:val="nil"/>
              <w:bottom w:val="nil"/>
              <w:right w:val="nil"/>
            </w:tcBorders>
          </w:tcPr>
          <w:p w14:paraId="74F902DF" w14:textId="77777777" w:rsidR="0021652D" w:rsidRPr="00B415E3" w:rsidRDefault="0021652D">
            <w:pPr>
              <w:spacing w:before="0"/>
              <w:jc w:val="right"/>
              <w:rPr>
                <w:sz w:val="20"/>
                <w:szCs w:val="20"/>
              </w:rPr>
            </w:pPr>
          </w:p>
        </w:tc>
      </w:tr>
      <w:tr w:rsidR="00B415E3" w:rsidRPr="00B415E3" w14:paraId="0041F6C2" w14:textId="77777777">
        <w:tc>
          <w:tcPr>
            <w:tcW w:w="557" w:type="dxa"/>
            <w:tcBorders>
              <w:top w:val="nil"/>
              <w:left w:val="nil"/>
              <w:bottom w:val="nil"/>
              <w:right w:val="nil"/>
            </w:tcBorders>
          </w:tcPr>
          <w:p w14:paraId="0967C0EC" w14:textId="77777777" w:rsidR="0021652D" w:rsidRPr="00B415E3" w:rsidRDefault="001B2301">
            <w:pPr>
              <w:spacing w:before="0"/>
              <w:rPr>
                <w:sz w:val="20"/>
                <w:szCs w:val="20"/>
              </w:rPr>
            </w:pPr>
            <w:r w:rsidRPr="00B415E3">
              <w:rPr>
                <w:sz w:val="20"/>
                <w:szCs w:val="20"/>
              </w:rPr>
              <w:t>UC</w:t>
            </w:r>
          </w:p>
        </w:tc>
        <w:tc>
          <w:tcPr>
            <w:tcW w:w="756" w:type="dxa"/>
            <w:tcBorders>
              <w:top w:val="nil"/>
              <w:left w:val="nil"/>
              <w:bottom w:val="nil"/>
              <w:right w:val="nil"/>
            </w:tcBorders>
          </w:tcPr>
          <w:p w14:paraId="6C60E6B6" w14:textId="77777777" w:rsidR="0021652D" w:rsidRPr="00B415E3" w:rsidRDefault="001B2301">
            <w:pPr>
              <w:spacing w:before="0"/>
              <w:jc w:val="right"/>
              <w:rPr>
                <w:sz w:val="20"/>
                <w:szCs w:val="20"/>
              </w:rPr>
            </w:pPr>
            <w:r w:rsidRPr="00B415E3">
              <w:rPr>
                <w:sz w:val="20"/>
                <w:szCs w:val="20"/>
              </w:rPr>
              <w:t>3.72</w:t>
            </w:r>
          </w:p>
        </w:tc>
        <w:tc>
          <w:tcPr>
            <w:tcW w:w="750" w:type="dxa"/>
            <w:tcBorders>
              <w:top w:val="nil"/>
              <w:left w:val="nil"/>
              <w:bottom w:val="nil"/>
              <w:right w:val="nil"/>
            </w:tcBorders>
          </w:tcPr>
          <w:p w14:paraId="5C7FD12C" w14:textId="77777777" w:rsidR="0021652D" w:rsidRPr="00B415E3" w:rsidRDefault="001B2301">
            <w:pPr>
              <w:spacing w:before="0"/>
              <w:jc w:val="right"/>
              <w:rPr>
                <w:sz w:val="20"/>
                <w:szCs w:val="20"/>
              </w:rPr>
            </w:pPr>
            <w:r w:rsidRPr="00B415E3">
              <w:rPr>
                <w:sz w:val="20"/>
                <w:szCs w:val="20"/>
              </w:rPr>
              <w:t>1.49</w:t>
            </w:r>
          </w:p>
        </w:tc>
        <w:tc>
          <w:tcPr>
            <w:tcW w:w="637" w:type="dxa"/>
            <w:tcBorders>
              <w:top w:val="nil"/>
              <w:left w:val="nil"/>
              <w:bottom w:val="nil"/>
              <w:right w:val="nil"/>
            </w:tcBorders>
          </w:tcPr>
          <w:p w14:paraId="2E8864F8" w14:textId="77777777" w:rsidR="0021652D" w:rsidRPr="00B415E3" w:rsidRDefault="001B2301">
            <w:pPr>
              <w:spacing w:before="0"/>
              <w:jc w:val="right"/>
              <w:rPr>
                <w:sz w:val="20"/>
                <w:szCs w:val="20"/>
              </w:rPr>
            </w:pPr>
            <w:r w:rsidRPr="00B415E3">
              <w:rPr>
                <w:sz w:val="20"/>
                <w:szCs w:val="20"/>
              </w:rPr>
              <w:t>0.82</w:t>
            </w:r>
          </w:p>
        </w:tc>
        <w:tc>
          <w:tcPr>
            <w:tcW w:w="637" w:type="dxa"/>
            <w:tcBorders>
              <w:top w:val="nil"/>
              <w:left w:val="nil"/>
              <w:bottom w:val="nil"/>
              <w:right w:val="nil"/>
            </w:tcBorders>
          </w:tcPr>
          <w:p w14:paraId="41964BB8" w14:textId="77777777" w:rsidR="0021652D" w:rsidRPr="00B415E3" w:rsidRDefault="001B2301">
            <w:pPr>
              <w:spacing w:before="0"/>
              <w:jc w:val="right"/>
              <w:rPr>
                <w:sz w:val="20"/>
                <w:szCs w:val="20"/>
              </w:rPr>
            </w:pPr>
            <w:r w:rsidRPr="00B415E3">
              <w:rPr>
                <w:sz w:val="20"/>
                <w:szCs w:val="20"/>
              </w:rPr>
              <w:t>0.89</w:t>
            </w:r>
          </w:p>
        </w:tc>
        <w:tc>
          <w:tcPr>
            <w:tcW w:w="705" w:type="dxa"/>
            <w:tcBorders>
              <w:top w:val="nil"/>
              <w:left w:val="nil"/>
              <w:bottom w:val="nil"/>
              <w:right w:val="nil"/>
            </w:tcBorders>
          </w:tcPr>
          <w:p w14:paraId="3DE3B294" w14:textId="77777777" w:rsidR="0021652D" w:rsidRPr="00B415E3" w:rsidRDefault="001B2301">
            <w:pPr>
              <w:spacing w:before="0"/>
              <w:jc w:val="right"/>
              <w:rPr>
                <w:sz w:val="20"/>
                <w:szCs w:val="20"/>
              </w:rPr>
            </w:pPr>
            <w:r w:rsidRPr="00B415E3">
              <w:rPr>
                <w:sz w:val="20"/>
                <w:szCs w:val="20"/>
              </w:rPr>
              <w:t>0.73</w:t>
            </w:r>
          </w:p>
        </w:tc>
        <w:tc>
          <w:tcPr>
            <w:tcW w:w="642" w:type="dxa"/>
            <w:tcBorders>
              <w:top w:val="nil"/>
              <w:left w:val="nil"/>
              <w:bottom w:val="nil"/>
              <w:right w:val="nil"/>
            </w:tcBorders>
          </w:tcPr>
          <w:p w14:paraId="63469E59" w14:textId="77777777" w:rsidR="0021652D" w:rsidRPr="00B415E3" w:rsidRDefault="001B2301">
            <w:pPr>
              <w:spacing w:before="0"/>
              <w:jc w:val="right"/>
              <w:rPr>
                <w:sz w:val="20"/>
                <w:szCs w:val="20"/>
              </w:rPr>
            </w:pPr>
            <w:r w:rsidRPr="00B415E3">
              <w:rPr>
                <w:sz w:val="20"/>
                <w:szCs w:val="20"/>
              </w:rPr>
              <w:t>-0.35</w:t>
            </w:r>
          </w:p>
        </w:tc>
        <w:tc>
          <w:tcPr>
            <w:tcW w:w="637" w:type="dxa"/>
            <w:tcBorders>
              <w:top w:val="nil"/>
              <w:left w:val="nil"/>
              <w:bottom w:val="nil"/>
              <w:right w:val="nil"/>
            </w:tcBorders>
          </w:tcPr>
          <w:p w14:paraId="27359A38" w14:textId="77777777" w:rsidR="0021652D" w:rsidRPr="00B415E3" w:rsidRDefault="001B2301">
            <w:pPr>
              <w:spacing w:before="0"/>
              <w:jc w:val="right"/>
              <w:rPr>
                <w:b/>
                <w:sz w:val="20"/>
                <w:szCs w:val="20"/>
              </w:rPr>
            </w:pPr>
            <w:r w:rsidRPr="00B415E3">
              <w:rPr>
                <w:b/>
                <w:sz w:val="20"/>
                <w:szCs w:val="20"/>
              </w:rPr>
              <w:t>0.86</w:t>
            </w:r>
          </w:p>
        </w:tc>
        <w:tc>
          <w:tcPr>
            <w:tcW w:w="637" w:type="dxa"/>
            <w:tcBorders>
              <w:top w:val="nil"/>
              <w:left w:val="nil"/>
              <w:bottom w:val="nil"/>
              <w:right w:val="nil"/>
            </w:tcBorders>
          </w:tcPr>
          <w:p w14:paraId="4E6A20AC" w14:textId="77777777" w:rsidR="0021652D" w:rsidRPr="00B415E3" w:rsidRDefault="0021652D">
            <w:pPr>
              <w:spacing w:before="0"/>
              <w:jc w:val="right"/>
              <w:rPr>
                <w:sz w:val="20"/>
                <w:szCs w:val="20"/>
              </w:rPr>
            </w:pPr>
          </w:p>
        </w:tc>
        <w:tc>
          <w:tcPr>
            <w:tcW w:w="618" w:type="dxa"/>
            <w:tcBorders>
              <w:top w:val="nil"/>
              <w:left w:val="nil"/>
              <w:bottom w:val="nil"/>
              <w:right w:val="nil"/>
            </w:tcBorders>
          </w:tcPr>
          <w:p w14:paraId="58744784"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7FE87568"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13ED0A8C"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07BA68C4" w14:textId="77777777" w:rsidR="0021652D" w:rsidRPr="00B415E3" w:rsidRDefault="0021652D">
            <w:pPr>
              <w:spacing w:before="0"/>
              <w:jc w:val="right"/>
              <w:rPr>
                <w:sz w:val="20"/>
                <w:szCs w:val="20"/>
              </w:rPr>
            </w:pPr>
          </w:p>
        </w:tc>
        <w:tc>
          <w:tcPr>
            <w:tcW w:w="657" w:type="dxa"/>
            <w:tcBorders>
              <w:top w:val="nil"/>
              <w:left w:val="nil"/>
              <w:bottom w:val="nil"/>
              <w:right w:val="nil"/>
            </w:tcBorders>
          </w:tcPr>
          <w:p w14:paraId="1551DAC2" w14:textId="77777777" w:rsidR="0021652D" w:rsidRPr="00B415E3" w:rsidRDefault="0021652D">
            <w:pPr>
              <w:spacing w:before="0"/>
              <w:jc w:val="right"/>
              <w:rPr>
                <w:sz w:val="20"/>
                <w:szCs w:val="20"/>
              </w:rPr>
            </w:pPr>
          </w:p>
        </w:tc>
      </w:tr>
      <w:tr w:rsidR="00B415E3" w:rsidRPr="00B415E3" w14:paraId="3847BB6A" w14:textId="77777777">
        <w:tc>
          <w:tcPr>
            <w:tcW w:w="557" w:type="dxa"/>
            <w:tcBorders>
              <w:top w:val="nil"/>
              <w:left w:val="nil"/>
              <w:bottom w:val="nil"/>
              <w:right w:val="nil"/>
            </w:tcBorders>
          </w:tcPr>
          <w:p w14:paraId="7DA41F61" w14:textId="77777777" w:rsidR="0021652D" w:rsidRPr="00B415E3" w:rsidRDefault="001B2301">
            <w:pPr>
              <w:spacing w:before="0"/>
              <w:rPr>
                <w:sz w:val="20"/>
                <w:szCs w:val="20"/>
              </w:rPr>
            </w:pPr>
            <w:r w:rsidRPr="00B415E3">
              <w:rPr>
                <w:sz w:val="20"/>
                <w:szCs w:val="20"/>
              </w:rPr>
              <w:t>DI</w:t>
            </w:r>
          </w:p>
        </w:tc>
        <w:tc>
          <w:tcPr>
            <w:tcW w:w="756" w:type="dxa"/>
            <w:tcBorders>
              <w:top w:val="nil"/>
              <w:left w:val="nil"/>
              <w:bottom w:val="nil"/>
              <w:right w:val="nil"/>
            </w:tcBorders>
          </w:tcPr>
          <w:p w14:paraId="1C54C135" w14:textId="77777777" w:rsidR="0021652D" w:rsidRPr="00B415E3" w:rsidRDefault="001B2301">
            <w:pPr>
              <w:spacing w:before="0"/>
              <w:jc w:val="right"/>
              <w:rPr>
                <w:sz w:val="20"/>
                <w:szCs w:val="20"/>
              </w:rPr>
            </w:pPr>
            <w:r w:rsidRPr="00B415E3">
              <w:rPr>
                <w:sz w:val="20"/>
                <w:szCs w:val="20"/>
              </w:rPr>
              <w:t>3.62</w:t>
            </w:r>
          </w:p>
        </w:tc>
        <w:tc>
          <w:tcPr>
            <w:tcW w:w="750" w:type="dxa"/>
            <w:tcBorders>
              <w:top w:val="nil"/>
              <w:left w:val="nil"/>
              <w:bottom w:val="nil"/>
              <w:right w:val="nil"/>
            </w:tcBorders>
          </w:tcPr>
          <w:p w14:paraId="7A84BE94" w14:textId="77777777" w:rsidR="0021652D" w:rsidRPr="00B415E3" w:rsidRDefault="001B2301">
            <w:pPr>
              <w:spacing w:before="0"/>
              <w:jc w:val="right"/>
              <w:rPr>
                <w:sz w:val="20"/>
                <w:szCs w:val="20"/>
              </w:rPr>
            </w:pPr>
            <w:r w:rsidRPr="00B415E3">
              <w:rPr>
                <w:sz w:val="20"/>
                <w:szCs w:val="20"/>
              </w:rPr>
              <w:t>1.43</w:t>
            </w:r>
          </w:p>
        </w:tc>
        <w:tc>
          <w:tcPr>
            <w:tcW w:w="637" w:type="dxa"/>
            <w:tcBorders>
              <w:top w:val="nil"/>
              <w:left w:val="nil"/>
              <w:bottom w:val="nil"/>
              <w:right w:val="nil"/>
            </w:tcBorders>
          </w:tcPr>
          <w:p w14:paraId="51903A09" w14:textId="77777777" w:rsidR="0021652D" w:rsidRPr="00B415E3" w:rsidRDefault="001B2301">
            <w:pPr>
              <w:spacing w:before="0"/>
              <w:jc w:val="right"/>
              <w:rPr>
                <w:sz w:val="20"/>
                <w:szCs w:val="20"/>
              </w:rPr>
            </w:pPr>
            <w:r w:rsidRPr="00B415E3">
              <w:rPr>
                <w:sz w:val="20"/>
                <w:szCs w:val="20"/>
              </w:rPr>
              <w:t>0.87</w:t>
            </w:r>
          </w:p>
        </w:tc>
        <w:tc>
          <w:tcPr>
            <w:tcW w:w="637" w:type="dxa"/>
            <w:tcBorders>
              <w:top w:val="nil"/>
              <w:left w:val="nil"/>
              <w:bottom w:val="nil"/>
              <w:right w:val="nil"/>
            </w:tcBorders>
          </w:tcPr>
          <w:p w14:paraId="250F584B" w14:textId="77777777" w:rsidR="0021652D" w:rsidRPr="00B415E3" w:rsidRDefault="001B2301">
            <w:pPr>
              <w:spacing w:before="0"/>
              <w:jc w:val="right"/>
              <w:rPr>
                <w:sz w:val="20"/>
                <w:szCs w:val="20"/>
              </w:rPr>
            </w:pPr>
            <w:r w:rsidRPr="00B415E3">
              <w:rPr>
                <w:sz w:val="20"/>
                <w:szCs w:val="20"/>
              </w:rPr>
              <w:t>0.92</w:t>
            </w:r>
          </w:p>
        </w:tc>
        <w:tc>
          <w:tcPr>
            <w:tcW w:w="705" w:type="dxa"/>
            <w:tcBorders>
              <w:top w:val="nil"/>
              <w:left w:val="nil"/>
              <w:bottom w:val="nil"/>
              <w:right w:val="nil"/>
            </w:tcBorders>
          </w:tcPr>
          <w:p w14:paraId="58BAF3BC" w14:textId="77777777" w:rsidR="0021652D" w:rsidRPr="00B415E3" w:rsidRDefault="001B2301">
            <w:pPr>
              <w:spacing w:before="0"/>
              <w:jc w:val="right"/>
              <w:rPr>
                <w:sz w:val="20"/>
                <w:szCs w:val="20"/>
              </w:rPr>
            </w:pPr>
            <w:r w:rsidRPr="00B415E3">
              <w:rPr>
                <w:sz w:val="20"/>
                <w:szCs w:val="20"/>
              </w:rPr>
              <w:t>0.80</w:t>
            </w:r>
          </w:p>
        </w:tc>
        <w:tc>
          <w:tcPr>
            <w:tcW w:w="642" w:type="dxa"/>
            <w:tcBorders>
              <w:top w:val="nil"/>
              <w:left w:val="nil"/>
              <w:bottom w:val="nil"/>
              <w:right w:val="nil"/>
            </w:tcBorders>
          </w:tcPr>
          <w:p w14:paraId="17255FDF" w14:textId="77777777" w:rsidR="0021652D" w:rsidRPr="00B415E3" w:rsidRDefault="001B2301">
            <w:pPr>
              <w:spacing w:before="0"/>
              <w:jc w:val="right"/>
              <w:rPr>
                <w:sz w:val="20"/>
                <w:szCs w:val="20"/>
              </w:rPr>
            </w:pPr>
            <w:r w:rsidRPr="00B415E3">
              <w:rPr>
                <w:sz w:val="20"/>
                <w:szCs w:val="20"/>
              </w:rPr>
              <w:t>-0.48</w:t>
            </w:r>
          </w:p>
        </w:tc>
        <w:tc>
          <w:tcPr>
            <w:tcW w:w="637" w:type="dxa"/>
            <w:tcBorders>
              <w:top w:val="nil"/>
              <w:left w:val="nil"/>
              <w:bottom w:val="nil"/>
              <w:right w:val="nil"/>
            </w:tcBorders>
          </w:tcPr>
          <w:p w14:paraId="0FDBA90F" w14:textId="77777777" w:rsidR="0021652D" w:rsidRPr="00B415E3" w:rsidRDefault="001B2301">
            <w:pPr>
              <w:spacing w:before="0"/>
              <w:jc w:val="right"/>
              <w:rPr>
                <w:sz w:val="20"/>
                <w:szCs w:val="20"/>
              </w:rPr>
            </w:pPr>
            <w:r w:rsidRPr="00B415E3">
              <w:rPr>
                <w:sz w:val="20"/>
                <w:szCs w:val="20"/>
              </w:rPr>
              <w:t>0.37</w:t>
            </w:r>
          </w:p>
        </w:tc>
        <w:tc>
          <w:tcPr>
            <w:tcW w:w="637" w:type="dxa"/>
            <w:tcBorders>
              <w:top w:val="nil"/>
              <w:left w:val="nil"/>
              <w:bottom w:val="nil"/>
              <w:right w:val="nil"/>
            </w:tcBorders>
          </w:tcPr>
          <w:p w14:paraId="78F15D04" w14:textId="77777777" w:rsidR="0021652D" w:rsidRPr="00B415E3" w:rsidRDefault="001B2301">
            <w:pPr>
              <w:spacing w:before="0"/>
              <w:jc w:val="right"/>
              <w:rPr>
                <w:b/>
                <w:sz w:val="20"/>
                <w:szCs w:val="20"/>
              </w:rPr>
            </w:pPr>
            <w:r w:rsidRPr="00B415E3">
              <w:rPr>
                <w:b/>
                <w:sz w:val="20"/>
                <w:szCs w:val="20"/>
              </w:rPr>
              <w:t>0.89</w:t>
            </w:r>
          </w:p>
        </w:tc>
        <w:tc>
          <w:tcPr>
            <w:tcW w:w="618" w:type="dxa"/>
            <w:tcBorders>
              <w:top w:val="nil"/>
              <w:left w:val="nil"/>
              <w:bottom w:val="nil"/>
              <w:right w:val="nil"/>
            </w:tcBorders>
          </w:tcPr>
          <w:p w14:paraId="5E8A67F9"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7EC3AFAB"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343728C2"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43237B36" w14:textId="77777777" w:rsidR="0021652D" w:rsidRPr="00B415E3" w:rsidRDefault="0021652D">
            <w:pPr>
              <w:spacing w:before="0"/>
              <w:jc w:val="right"/>
              <w:rPr>
                <w:sz w:val="20"/>
                <w:szCs w:val="20"/>
              </w:rPr>
            </w:pPr>
          </w:p>
        </w:tc>
        <w:tc>
          <w:tcPr>
            <w:tcW w:w="657" w:type="dxa"/>
            <w:tcBorders>
              <w:top w:val="nil"/>
              <w:left w:val="nil"/>
              <w:bottom w:val="nil"/>
              <w:right w:val="nil"/>
            </w:tcBorders>
          </w:tcPr>
          <w:p w14:paraId="433A8D33" w14:textId="77777777" w:rsidR="0021652D" w:rsidRPr="00B415E3" w:rsidRDefault="0021652D">
            <w:pPr>
              <w:spacing w:before="0"/>
              <w:jc w:val="right"/>
              <w:rPr>
                <w:sz w:val="20"/>
                <w:szCs w:val="20"/>
              </w:rPr>
            </w:pPr>
          </w:p>
        </w:tc>
      </w:tr>
      <w:tr w:rsidR="00B415E3" w:rsidRPr="00B415E3" w14:paraId="2CBDDEC2" w14:textId="77777777">
        <w:tc>
          <w:tcPr>
            <w:tcW w:w="557" w:type="dxa"/>
            <w:tcBorders>
              <w:top w:val="nil"/>
              <w:left w:val="nil"/>
              <w:bottom w:val="nil"/>
              <w:right w:val="nil"/>
            </w:tcBorders>
          </w:tcPr>
          <w:p w14:paraId="32ED9BD6" w14:textId="77777777" w:rsidR="0021652D" w:rsidRPr="00B415E3" w:rsidRDefault="001B2301">
            <w:pPr>
              <w:spacing w:before="0"/>
              <w:rPr>
                <w:sz w:val="20"/>
                <w:szCs w:val="20"/>
              </w:rPr>
            </w:pPr>
            <w:r w:rsidRPr="00B415E3">
              <w:rPr>
                <w:sz w:val="20"/>
                <w:szCs w:val="20"/>
              </w:rPr>
              <w:t>DC</w:t>
            </w:r>
          </w:p>
        </w:tc>
        <w:tc>
          <w:tcPr>
            <w:tcW w:w="756" w:type="dxa"/>
            <w:tcBorders>
              <w:top w:val="nil"/>
              <w:left w:val="nil"/>
              <w:bottom w:val="nil"/>
              <w:right w:val="nil"/>
            </w:tcBorders>
          </w:tcPr>
          <w:p w14:paraId="608041C6" w14:textId="77777777" w:rsidR="0021652D" w:rsidRPr="00B415E3" w:rsidRDefault="001B2301">
            <w:pPr>
              <w:spacing w:before="0"/>
              <w:jc w:val="right"/>
              <w:rPr>
                <w:sz w:val="20"/>
                <w:szCs w:val="20"/>
              </w:rPr>
            </w:pPr>
            <w:r w:rsidRPr="00B415E3">
              <w:rPr>
                <w:sz w:val="20"/>
                <w:szCs w:val="20"/>
              </w:rPr>
              <w:t>4.45</w:t>
            </w:r>
          </w:p>
        </w:tc>
        <w:tc>
          <w:tcPr>
            <w:tcW w:w="750" w:type="dxa"/>
            <w:tcBorders>
              <w:top w:val="nil"/>
              <w:left w:val="nil"/>
              <w:bottom w:val="nil"/>
              <w:right w:val="nil"/>
            </w:tcBorders>
          </w:tcPr>
          <w:p w14:paraId="33682B63" w14:textId="77777777" w:rsidR="0021652D" w:rsidRPr="00B415E3" w:rsidRDefault="001B2301">
            <w:pPr>
              <w:spacing w:before="0"/>
              <w:jc w:val="right"/>
              <w:rPr>
                <w:sz w:val="20"/>
                <w:szCs w:val="20"/>
              </w:rPr>
            </w:pPr>
            <w:r w:rsidRPr="00B415E3">
              <w:rPr>
                <w:sz w:val="20"/>
                <w:szCs w:val="20"/>
              </w:rPr>
              <w:t>1.03</w:t>
            </w:r>
          </w:p>
        </w:tc>
        <w:tc>
          <w:tcPr>
            <w:tcW w:w="637" w:type="dxa"/>
            <w:tcBorders>
              <w:top w:val="nil"/>
              <w:left w:val="nil"/>
              <w:bottom w:val="nil"/>
              <w:right w:val="nil"/>
            </w:tcBorders>
          </w:tcPr>
          <w:p w14:paraId="3E55425E" w14:textId="77777777" w:rsidR="0021652D" w:rsidRPr="00B415E3" w:rsidRDefault="001B2301">
            <w:pPr>
              <w:spacing w:before="0"/>
              <w:jc w:val="right"/>
              <w:rPr>
                <w:sz w:val="20"/>
                <w:szCs w:val="20"/>
              </w:rPr>
            </w:pPr>
            <w:r w:rsidRPr="00B415E3">
              <w:rPr>
                <w:sz w:val="20"/>
                <w:szCs w:val="20"/>
              </w:rPr>
              <w:t>0.79</w:t>
            </w:r>
          </w:p>
        </w:tc>
        <w:tc>
          <w:tcPr>
            <w:tcW w:w="637" w:type="dxa"/>
            <w:tcBorders>
              <w:top w:val="nil"/>
              <w:left w:val="nil"/>
              <w:bottom w:val="nil"/>
              <w:right w:val="nil"/>
            </w:tcBorders>
          </w:tcPr>
          <w:p w14:paraId="67DFDBF9" w14:textId="77777777" w:rsidR="0021652D" w:rsidRPr="00B415E3" w:rsidRDefault="001B2301">
            <w:pPr>
              <w:spacing w:before="0"/>
              <w:jc w:val="right"/>
              <w:rPr>
                <w:sz w:val="20"/>
                <w:szCs w:val="20"/>
              </w:rPr>
            </w:pPr>
            <w:r w:rsidRPr="00B415E3">
              <w:rPr>
                <w:sz w:val="20"/>
                <w:szCs w:val="20"/>
              </w:rPr>
              <w:t>0.88</w:t>
            </w:r>
          </w:p>
        </w:tc>
        <w:tc>
          <w:tcPr>
            <w:tcW w:w="705" w:type="dxa"/>
            <w:tcBorders>
              <w:top w:val="nil"/>
              <w:left w:val="nil"/>
              <w:bottom w:val="nil"/>
              <w:right w:val="nil"/>
            </w:tcBorders>
          </w:tcPr>
          <w:p w14:paraId="1206D8C5" w14:textId="77777777" w:rsidR="0021652D" w:rsidRPr="00B415E3" w:rsidRDefault="001B2301">
            <w:pPr>
              <w:spacing w:before="0"/>
              <w:jc w:val="right"/>
              <w:rPr>
                <w:sz w:val="20"/>
                <w:szCs w:val="20"/>
              </w:rPr>
            </w:pPr>
            <w:r w:rsidRPr="00B415E3">
              <w:rPr>
                <w:sz w:val="20"/>
                <w:szCs w:val="20"/>
              </w:rPr>
              <w:t>0.71</w:t>
            </w:r>
          </w:p>
        </w:tc>
        <w:tc>
          <w:tcPr>
            <w:tcW w:w="642" w:type="dxa"/>
            <w:tcBorders>
              <w:top w:val="nil"/>
              <w:left w:val="nil"/>
              <w:bottom w:val="nil"/>
              <w:right w:val="nil"/>
            </w:tcBorders>
          </w:tcPr>
          <w:p w14:paraId="2BB6B3F7" w14:textId="77777777" w:rsidR="0021652D" w:rsidRPr="00B415E3" w:rsidRDefault="001B2301">
            <w:pPr>
              <w:spacing w:before="0"/>
              <w:jc w:val="right"/>
              <w:rPr>
                <w:sz w:val="20"/>
                <w:szCs w:val="20"/>
              </w:rPr>
            </w:pPr>
            <w:r w:rsidRPr="00B415E3">
              <w:rPr>
                <w:sz w:val="20"/>
                <w:szCs w:val="20"/>
              </w:rPr>
              <w:t>0.62</w:t>
            </w:r>
          </w:p>
        </w:tc>
        <w:tc>
          <w:tcPr>
            <w:tcW w:w="637" w:type="dxa"/>
            <w:tcBorders>
              <w:top w:val="nil"/>
              <w:left w:val="nil"/>
              <w:bottom w:val="nil"/>
              <w:right w:val="nil"/>
            </w:tcBorders>
          </w:tcPr>
          <w:p w14:paraId="1B22DFA0" w14:textId="77777777" w:rsidR="0021652D" w:rsidRPr="00B415E3" w:rsidRDefault="001B2301">
            <w:pPr>
              <w:spacing w:before="0"/>
              <w:jc w:val="right"/>
              <w:rPr>
                <w:sz w:val="20"/>
                <w:szCs w:val="20"/>
              </w:rPr>
            </w:pPr>
            <w:r w:rsidRPr="00B415E3">
              <w:rPr>
                <w:sz w:val="20"/>
                <w:szCs w:val="20"/>
              </w:rPr>
              <w:t>-0.43</w:t>
            </w:r>
          </w:p>
        </w:tc>
        <w:tc>
          <w:tcPr>
            <w:tcW w:w="637" w:type="dxa"/>
            <w:tcBorders>
              <w:top w:val="nil"/>
              <w:left w:val="nil"/>
              <w:bottom w:val="nil"/>
              <w:right w:val="nil"/>
            </w:tcBorders>
          </w:tcPr>
          <w:p w14:paraId="23E9CF40" w14:textId="77777777" w:rsidR="0021652D" w:rsidRPr="00B415E3" w:rsidRDefault="001B2301">
            <w:pPr>
              <w:spacing w:before="0"/>
              <w:jc w:val="right"/>
              <w:rPr>
                <w:sz w:val="20"/>
                <w:szCs w:val="20"/>
              </w:rPr>
            </w:pPr>
            <w:r w:rsidRPr="00B415E3">
              <w:rPr>
                <w:sz w:val="20"/>
                <w:szCs w:val="20"/>
              </w:rPr>
              <w:t>-0.41</w:t>
            </w:r>
          </w:p>
        </w:tc>
        <w:tc>
          <w:tcPr>
            <w:tcW w:w="618" w:type="dxa"/>
            <w:tcBorders>
              <w:top w:val="nil"/>
              <w:left w:val="nil"/>
              <w:bottom w:val="nil"/>
              <w:right w:val="nil"/>
            </w:tcBorders>
          </w:tcPr>
          <w:p w14:paraId="5BC080B9" w14:textId="77777777" w:rsidR="0021652D" w:rsidRPr="00B415E3" w:rsidRDefault="001B2301">
            <w:pPr>
              <w:spacing w:before="0"/>
              <w:jc w:val="right"/>
              <w:rPr>
                <w:b/>
                <w:sz w:val="20"/>
                <w:szCs w:val="20"/>
              </w:rPr>
            </w:pPr>
            <w:r w:rsidRPr="00B415E3">
              <w:rPr>
                <w:b/>
                <w:sz w:val="20"/>
                <w:szCs w:val="20"/>
              </w:rPr>
              <w:t>0.84</w:t>
            </w:r>
          </w:p>
        </w:tc>
        <w:tc>
          <w:tcPr>
            <w:tcW w:w="566" w:type="dxa"/>
            <w:tcBorders>
              <w:top w:val="nil"/>
              <w:left w:val="nil"/>
              <w:bottom w:val="nil"/>
              <w:right w:val="nil"/>
            </w:tcBorders>
          </w:tcPr>
          <w:p w14:paraId="03171513"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2790218B"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5F638858" w14:textId="77777777" w:rsidR="0021652D" w:rsidRPr="00B415E3" w:rsidRDefault="0021652D">
            <w:pPr>
              <w:spacing w:before="0"/>
              <w:jc w:val="right"/>
              <w:rPr>
                <w:sz w:val="20"/>
                <w:szCs w:val="20"/>
              </w:rPr>
            </w:pPr>
          </w:p>
        </w:tc>
        <w:tc>
          <w:tcPr>
            <w:tcW w:w="657" w:type="dxa"/>
            <w:tcBorders>
              <w:top w:val="nil"/>
              <w:left w:val="nil"/>
              <w:bottom w:val="nil"/>
              <w:right w:val="nil"/>
            </w:tcBorders>
          </w:tcPr>
          <w:p w14:paraId="08728751" w14:textId="77777777" w:rsidR="0021652D" w:rsidRPr="00B415E3" w:rsidRDefault="0021652D">
            <w:pPr>
              <w:spacing w:before="0"/>
              <w:jc w:val="right"/>
              <w:rPr>
                <w:sz w:val="20"/>
                <w:szCs w:val="20"/>
              </w:rPr>
            </w:pPr>
          </w:p>
        </w:tc>
      </w:tr>
      <w:tr w:rsidR="00B415E3" w:rsidRPr="00B415E3" w14:paraId="5724BC34" w14:textId="77777777">
        <w:tc>
          <w:tcPr>
            <w:tcW w:w="557" w:type="dxa"/>
            <w:tcBorders>
              <w:top w:val="nil"/>
              <w:left w:val="nil"/>
              <w:bottom w:val="nil"/>
              <w:right w:val="nil"/>
            </w:tcBorders>
          </w:tcPr>
          <w:p w14:paraId="0B177206" w14:textId="77777777" w:rsidR="0021652D" w:rsidRPr="00B415E3" w:rsidRDefault="001B2301">
            <w:pPr>
              <w:spacing w:before="0"/>
              <w:rPr>
                <w:sz w:val="20"/>
                <w:szCs w:val="20"/>
              </w:rPr>
            </w:pPr>
            <w:r w:rsidRPr="00B415E3">
              <w:rPr>
                <w:sz w:val="20"/>
                <w:szCs w:val="20"/>
              </w:rPr>
              <w:t>SE</w:t>
            </w:r>
          </w:p>
        </w:tc>
        <w:tc>
          <w:tcPr>
            <w:tcW w:w="756" w:type="dxa"/>
            <w:tcBorders>
              <w:top w:val="nil"/>
              <w:left w:val="nil"/>
              <w:bottom w:val="nil"/>
              <w:right w:val="nil"/>
            </w:tcBorders>
          </w:tcPr>
          <w:p w14:paraId="1D7E16D7" w14:textId="77777777" w:rsidR="0021652D" w:rsidRPr="00B415E3" w:rsidRDefault="001B2301">
            <w:pPr>
              <w:spacing w:before="0"/>
              <w:jc w:val="right"/>
              <w:rPr>
                <w:sz w:val="20"/>
                <w:szCs w:val="20"/>
              </w:rPr>
            </w:pPr>
            <w:r w:rsidRPr="00B415E3">
              <w:rPr>
                <w:sz w:val="20"/>
                <w:szCs w:val="20"/>
              </w:rPr>
              <w:t>4.64</w:t>
            </w:r>
          </w:p>
        </w:tc>
        <w:tc>
          <w:tcPr>
            <w:tcW w:w="750" w:type="dxa"/>
            <w:tcBorders>
              <w:top w:val="nil"/>
              <w:left w:val="nil"/>
              <w:bottom w:val="nil"/>
              <w:right w:val="nil"/>
            </w:tcBorders>
          </w:tcPr>
          <w:p w14:paraId="093EF499" w14:textId="77777777" w:rsidR="0021652D" w:rsidRPr="00B415E3" w:rsidRDefault="001B2301">
            <w:pPr>
              <w:spacing w:before="0"/>
              <w:jc w:val="right"/>
              <w:rPr>
                <w:sz w:val="20"/>
                <w:szCs w:val="20"/>
              </w:rPr>
            </w:pPr>
            <w:r w:rsidRPr="00B415E3">
              <w:rPr>
                <w:sz w:val="20"/>
                <w:szCs w:val="20"/>
              </w:rPr>
              <w:t>1.04</w:t>
            </w:r>
          </w:p>
        </w:tc>
        <w:tc>
          <w:tcPr>
            <w:tcW w:w="637" w:type="dxa"/>
            <w:tcBorders>
              <w:top w:val="nil"/>
              <w:left w:val="nil"/>
              <w:bottom w:val="nil"/>
              <w:right w:val="nil"/>
            </w:tcBorders>
          </w:tcPr>
          <w:p w14:paraId="4F3A57CA" w14:textId="77777777" w:rsidR="0021652D" w:rsidRPr="00B415E3" w:rsidRDefault="001B2301">
            <w:pPr>
              <w:spacing w:before="0"/>
              <w:jc w:val="right"/>
              <w:rPr>
                <w:sz w:val="20"/>
                <w:szCs w:val="20"/>
              </w:rPr>
            </w:pPr>
            <w:r w:rsidRPr="00B415E3">
              <w:rPr>
                <w:sz w:val="20"/>
                <w:szCs w:val="20"/>
              </w:rPr>
              <w:t>0.88</w:t>
            </w:r>
          </w:p>
        </w:tc>
        <w:tc>
          <w:tcPr>
            <w:tcW w:w="637" w:type="dxa"/>
            <w:tcBorders>
              <w:top w:val="nil"/>
              <w:left w:val="nil"/>
              <w:bottom w:val="nil"/>
              <w:right w:val="nil"/>
            </w:tcBorders>
          </w:tcPr>
          <w:p w14:paraId="0C46C1CB" w14:textId="77777777" w:rsidR="0021652D" w:rsidRPr="00B415E3" w:rsidRDefault="001B2301">
            <w:pPr>
              <w:spacing w:before="0"/>
              <w:jc w:val="right"/>
              <w:rPr>
                <w:sz w:val="20"/>
                <w:szCs w:val="20"/>
              </w:rPr>
            </w:pPr>
            <w:r w:rsidRPr="00B415E3">
              <w:rPr>
                <w:sz w:val="20"/>
                <w:szCs w:val="20"/>
              </w:rPr>
              <w:t>0.92</w:t>
            </w:r>
          </w:p>
        </w:tc>
        <w:tc>
          <w:tcPr>
            <w:tcW w:w="705" w:type="dxa"/>
            <w:tcBorders>
              <w:top w:val="nil"/>
              <w:left w:val="nil"/>
              <w:bottom w:val="nil"/>
              <w:right w:val="nil"/>
            </w:tcBorders>
          </w:tcPr>
          <w:p w14:paraId="11854152" w14:textId="77777777" w:rsidR="0021652D" w:rsidRPr="00B415E3" w:rsidRDefault="001B2301">
            <w:pPr>
              <w:spacing w:before="0"/>
              <w:jc w:val="right"/>
              <w:rPr>
                <w:sz w:val="20"/>
                <w:szCs w:val="20"/>
              </w:rPr>
            </w:pPr>
            <w:r w:rsidRPr="00B415E3">
              <w:rPr>
                <w:sz w:val="20"/>
                <w:szCs w:val="20"/>
              </w:rPr>
              <w:t>0.73</w:t>
            </w:r>
          </w:p>
        </w:tc>
        <w:tc>
          <w:tcPr>
            <w:tcW w:w="642" w:type="dxa"/>
            <w:tcBorders>
              <w:top w:val="nil"/>
              <w:left w:val="nil"/>
              <w:bottom w:val="nil"/>
              <w:right w:val="nil"/>
            </w:tcBorders>
          </w:tcPr>
          <w:p w14:paraId="40279F96" w14:textId="77777777" w:rsidR="0021652D" w:rsidRPr="00B415E3" w:rsidRDefault="001B2301">
            <w:pPr>
              <w:spacing w:before="0"/>
              <w:jc w:val="right"/>
              <w:rPr>
                <w:sz w:val="20"/>
                <w:szCs w:val="20"/>
              </w:rPr>
            </w:pPr>
            <w:r w:rsidRPr="00B415E3">
              <w:rPr>
                <w:sz w:val="20"/>
                <w:szCs w:val="20"/>
              </w:rPr>
              <w:t>0.59</w:t>
            </w:r>
          </w:p>
        </w:tc>
        <w:tc>
          <w:tcPr>
            <w:tcW w:w="637" w:type="dxa"/>
            <w:tcBorders>
              <w:top w:val="nil"/>
              <w:left w:val="nil"/>
              <w:bottom w:val="nil"/>
              <w:right w:val="nil"/>
            </w:tcBorders>
          </w:tcPr>
          <w:p w14:paraId="4B220B31" w14:textId="77777777" w:rsidR="0021652D" w:rsidRPr="00B415E3" w:rsidRDefault="001B2301">
            <w:pPr>
              <w:spacing w:before="0"/>
              <w:jc w:val="right"/>
              <w:rPr>
                <w:sz w:val="20"/>
                <w:szCs w:val="20"/>
              </w:rPr>
            </w:pPr>
            <w:r w:rsidRPr="00B415E3">
              <w:rPr>
                <w:sz w:val="20"/>
                <w:szCs w:val="20"/>
              </w:rPr>
              <w:t>-0.54</w:t>
            </w:r>
          </w:p>
        </w:tc>
        <w:tc>
          <w:tcPr>
            <w:tcW w:w="637" w:type="dxa"/>
            <w:tcBorders>
              <w:top w:val="nil"/>
              <w:left w:val="nil"/>
              <w:bottom w:val="nil"/>
              <w:right w:val="nil"/>
            </w:tcBorders>
          </w:tcPr>
          <w:p w14:paraId="74143E80" w14:textId="77777777" w:rsidR="0021652D" w:rsidRPr="00B415E3" w:rsidRDefault="001B2301">
            <w:pPr>
              <w:spacing w:before="0"/>
              <w:jc w:val="right"/>
              <w:rPr>
                <w:sz w:val="20"/>
                <w:szCs w:val="20"/>
              </w:rPr>
            </w:pPr>
            <w:r w:rsidRPr="00B415E3">
              <w:rPr>
                <w:sz w:val="20"/>
                <w:szCs w:val="20"/>
              </w:rPr>
              <w:t>-0.41</w:t>
            </w:r>
          </w:p>
        </w:tc>
        <w:tc>
          <w:tcPr>
            <w:tcW w:w="618" w:type="dxa"/>
            <w:tcBorders>
              <w:top w:val="nil"/>
              <w:left w:val="nil"/>
              <w:bottom w:val="nil"/>
              <w:right w:val="nil"/>
            </w:tcBorders>
          </w:tcPr>
          <w:p w14:paraId="47AE9D53" w14:textId="77777777" w:rsidR="0021652D" w:rsidRPr="00B415E3" w:rsidRDefault="001B2301">
            <w:pPr>
              <w:spacing w:before="0"/>
              <w:jc w:val="right"/>
              <w:rPr>
                <w:sz w:val="20"/>
                <w:szCs w:val="20"/>
              </w:rPr>
            </w:pPr>
            <w:r w:rsidRPr="00B415E3">
              <w:rPr>
                <w:sz w:val="20"/>
                <w:szCs w:val="20"/>
              </w:rPr>
              <w:t>0.65</w:t>
            </w:r>
          </w:p>
        </w:tc>
        <w:tc>
          <w:tcPr>
            <w:tcW w:w="566" w:type="dxa"/>
            <w:tcBorders>
              <w:top w:val="nil"/>
              <w:left w:val="nil"/>
              <w:bottom w:val="nil"/>
              <w:right w:val="nil"/>
            </w:tcBorders>
          </w:tcPr>
          <w:p w14:paraId="10D6577E" w14:textId="77777777" w:rsidR="0021652D" w:rsidRPr="00B415E3" w:rsidRDefault="001B2301">
            <w:pPr>
              <w:spacing w:before="0"/>
              <w:jc w:val="right"/>
              <w:rPr>
                <w:b/>
                <w:sz w:val="20"/>
                <w:szCs w:val="20"/>
              </w:rPr>
            </w:pPr>
            <w:r w:rsidRPr="00B415E3">
              <w:rPr>
                <w:b/>
                <w:sz w:val="20"/>
                <w:szCs w:val="20"/>
              </w:rPr>
              <w:t>0.86</w:t>
            </w:r>
          </w:p>
        </w:tc>
        <w:tc>
          <w:tcPr>
            <w:tcW w:w="566" w:type="dxa"/>
            <w:tcBorders>
              <w:top w:val="nil"/>
              <w:left w:val="nil"/>
              <w:bottom w:val="nil"/>
              <w:right w:val="nil"/>
            </w:tcBorders>
          </w:tcPr>
          <w:p w14:paraId="09E72430" w14:textId="77777777" w:rsidR="0021652D" w:rsidRPr="00B415E3" w:rsidRDefault="0021652D">
            <w:pPr>
              <w:spacing w:before="0"/>
              <w:jc w:val="right"/>
              <w:rPr>
                <w:sz w:val="20"/>
                <w:szCs w:val="20"/>
              </w:rPr>
            </w:pPr>
          </w:p>
        </w:tc>
        <w:tc>
          <w:tcPr>
            <w:tcW w:w="566" w:type="dxa"/>
            <w:tcBorders>
              <w:top w:val="nil"/>
              <w:left w:val="nil"/>
              <w:bottom w:val="nil"/>
              <w:right w:val="nil"/>
            </w:tcBorders>
          </w:tcPr>
          <w:p w14:paraId="03640DBF" w14:textId="77777777" w:rsidR="0021652D" w:rsidRPr="00B415E3" w:rsidRDefault="0021652D">
            <w:pPr>
              <w:spacing w:before="0"/>
              <w:jc w:val="right"/>
              <w:rPr>
                <w:sz w:val="20"/>
                <w:szCs w:val="20"/>
              </w:rPr>
            </w:pPr>
          </w:p>
        </w:tc>
        <w:tc>
          <w:tcPr>
            <w:tcW w:w="657" w:type="dxa"/>
            <w:tcBorders>
              <w:top w:val="nil"/>
              <w:left w:val="nil"/>
              <w:bottom w:val="nil"/>
              <w:right w:val="nil"/>
            </w:tcBorders>
          </w:tcPr>
          <w:p w14:paraId="307016BA" w14:textId="77777777" w:rsidR="0021652D" w:rsidRPr="00B415E3" w:rsidRDefault="0021652D">
            <w:pPr>
              <w:spacing w:before="0"/>
              <w:jc w:val="right"/>
              <w:rPr>
                <w:sz w:val="20"/>
                <w:szCs w:val="20"/>
              </w:rPr>
            </w:pPr>
          </w:p>
        </w:tc>
      </w:tr>
      <w:tr w:rsidR="00B415E3" w:rsidRPr="00B415E3" w14:paraId="010094F4" w14:textId="77777777">
        <w:tc>
          <w:tcPr>
            <w:tcW w:w="557" w:type="dxa"/>
            <w:tcBorders>
              <w:top w:val="nil"/>
              <w:left w:val="nil"/>
              <w:bottom w:val="nil"/>
              <w:right w:val="nil"/>
            </w:tcBorders>
          </w:tcPr>
          <w:p w14:paraId="3755008A" w14:textId="77777777" w:rsidR="0021652D" w:rsidRPr="00B415E3" w:rsidRDefault="001B2301">
            <w:pPr>
              <w:spacing w:before="0"/>
              <w:rPr>
                <w:sz w:val="20"/>
                <w:szCs w:val="20"/>
              </w:rPr>
            </w:pPr>
            <w:r w:rsidRPr="00B415E3">
              <w:rPr>
                <w:sz w:val="20"/>
                <w:szCs w:val="20"/>
              </w:rPr>
              <w:t>PE</w:t>
            </w:r>
          </w:p>
        </w:tc>
        <w:tc>
          <w:tcPr>
            <w:tcW w:w="756" w:type="dxa"/>
            <w:tcBorders>
              <w:top w:val="nil"/>
              <w:left w:val="nil"/>
              <w:bottom w:val="nil"/>
              <w:right w:val="nil"/>
            </w:tcBorders>
          </w:tcPr>
          <w:p w14:paraId="53028C51" w14:textId="77777777" w:rsidR="0021652D" w:rsidRPr="00B415E3" w:rsidRDefault="001B2301">
            <w:pPr>
              <w:spacing w:before="0"/>
              <w:jc w:val="right"/>
              <w:rPr>
                <w:sz w:val="20"/>
                <w:szCs w:val="20"/>
              </w:rPr>
            </w:pPr>
            <w:r w:rsidRPr="00B415E3">
              <w:rPr>
                <w:sz w:val="20"/>
                <w:szCs w:val="20"/>
              </w:rPr>
              <w:t>4.42</w:t>
            </w:r>
          </w:p>
        </w:tc>
        <w:tc>
          <w:tcPr>
            <w:tcW w:w="750" w:type="dxa"/>
            <w:tcBorders>
              <w:top w:val="nil"/>
              <w:left w:val="nil"/>
              <w:bottom w:val="nil"/>
              <w:right w:val="nil"/>
            </w:tcBorders>
          </w:tcPr>
          <w:p w14:paraId="23CDE5A1" w14:textId="77777777" w:rsidR="0021652D" w:rsidRPr="00B415E3" w:rsidRDefault="001B2301">
            <w:pPr>
              <w:spacing w:before="0"/>
              <w:jc w:val="right"/>
              <w:rPr>
                <w:sz w:val="20"/>
                <w:szCs w:val="20"/>
              </w:rPr>
            </w:pPr>
            <w:r w:rsidRPr="00B415E3">
              <w:rPr>
                <w:sz w:val="20"/>
                <w:szCs w:val="20"/>
              </w:rPr>
              <w:t>1.10</w:t>
            </w:r>
          </w:p>
        </w:tc>
        <w:tc>
          <w:tcPr>
            <w:tcW w:w="637" w:type="dxa"/>
            <w:tcBorders>
              <w:top w:val="nil"/>
              <w:left w:val="nil"/>
              <w:bottom w:val="nil"/>
              <w:right w:val="nil"/>
            </w:tcBorders>
          </w:tcPr>
          <w:p w14:paraId="2CEF220A" w14:textId="77777777" w:rsidR="0021652D" w:rsidRPr="00B415E3" w:rsidRDefault="001B2301">
            <w:pPr>
              <w:spacing w:before="0"/>
              <w:jc w:val="right"/>
              <w:rPr>
                <w:sz w:val="20"/>
                <w:szCs w:val="20"/>
              </w:rPr>
            </w:pPr>
            <w:r w:rsidRPr="00B415E3">
              <w:rPr>
                <w:sz w:val="20"/>
                <w:szCs w:val="20"/>
              </w:rPr>
              <w:t>0.90</w:t>
            </w:r>
          </w:p>
        </w:tc>
        <w:tc>
          <w:tcPr>
            <w:tcW w:w="637" w:type="dxa"/>
            <w:tcBorders>
              <w:top w:val="nil"/>
              <w:left w:val="nil"/>
              <w:bottom w:val="nil"/>
              <w:right w:val="nil"/>
            </w:tcBorders>
          </w:tcPr>
          <w:p w14:paraId="6CF99739" w14:textId="77777777" w:rsidR="0021652D" w:rsidRPr="00B415E3" w:rsidRDefault="001B2301">
            <w:pPr>
              <w:spacing w:before="0"/>
              <w:jc w:val="right"/>
              <w:rPr>
                <w:sz w:val="20"/>
                <w:szCs w:val="20"/>
              </w:rPr>
            </w:pPr>
            <w:r w:rsidRPr="00B415E3">
              <w:rPr>
                <w:sz w:val="20"/>
                <w:szCs w:val="20"/>
              </w:rPr>
              <w:t>0.93</w:t>
            </w:r>
          </w:p>
        </w:tc>
        <w:tc>
          <w:tcPr>
            <w:tcW w:w="705" w:type="dxa"/>
            <w:tcBorders>
              <w:top w:val="nil"/>
              <w:left w:val="nil"/>
              <w:bottom w:val="nil"/>
              <w:right w:val="nil"/>
            </w:tcBorders>
          </w:tcPr>
          <w:p w14:paraId="3E2B4B63" w14:textId="77777777" w:rsidR="0021652D" w:rsidRPr="00B415E3" w:rsidRDefault="001B2301">
            <w:pPr>
              <w:spacing w:before="0"/>
              <w:jc w:val="right"/>
              <w:rPr>
                <w:sz w:val="20"/>
                <w:szCs w:val="20"/>
              </w:rPr>
            </w:pPr>
            <w:r w:rsidRPr="00B415E3">
              <w:rPr>
                <w:sz w:val="20"/>
                <w:szCs w:val="20"/>
              </w:rPr>
              <w:t>0.76</w:t>
            </w:r>
          </w:p>
        </w:tc>
        <w:tc>
          <w:tcPr>
            <w:tcW w:w="642" w:type="dxa"/>
            <w:tcBorders>
              <w:top w:val="nil"/>
              <w:left w:val="nil"/>
              <w:bottom w:val="nil"/>
              <w:right w:val="nil"/>
            </w:tcBorders>
          </w:tcPr>
          <w:p w14:paraId="1DF7DB2D" w14:textId="77777777" w:rsidR="0021652D" w:rsidRPr="00B415E3" w:rsidRDefault="001B2301">
            <w:pPr>
              <w:spacing w:before="0"/>
              <w:jc w:val="right"/>
              <w:rPr>
                <w:sz w:val="20"/>
                <w:szCs w:val="20"/>
              </w:rPr>
            </w:pPr>
            <w:r w:rsidRPr="00B415E3">
              <w:rPr>
                <w:sz w:val="20"/>
                <w:szCs w:val="20"/>
              </w:rPr>
              <w:t>0.79</w:t>
            </w:r>
          </w:p>
        </w:tc>
        <w:tc>
          <w:tcPr>
            <w:tcW w:w="637" w:type="dxa"/>
            <w:tcBorders>
              <w:top w:val="nil"/>
              <w:left w:val="nil"/>
              <w:bottom w:val="nil"/>
              <w:right w:val="nil"/>
            </w:tcBorders>
          </w:tcPr>
          <w:p w14:paraId="48A00864" w14:textId="77777777" w:rsidR="0021652D" w:rsidRPr="00B415E3" w:rsidRDefault="001B2301">
            <w:pPr>
              <w:spacing w:before="0"/>
              <w:jc w:val="right"/>
              <w:rPr>
                <w:sz w:val="20"/>
                <w:szCs w:val="20"/>
              </w:rPr>
            </w:pPr>
            <w:r w:rsidRPr="00B415E3">
              <w:rPr>
                <w:sz w:val="20"/>
                <w:szCs w:val="20"/>
              </w:rPr>
              <w:t>-0.44</w:t>
            </w:r>
          </w:p>
        </w:tc>
        <w:tc>
          <w:tcPr>
            <w:tcW w:w="637" w:type="dxa"/>
            <w:tcBorders>
              <w:top w:val="nil"/>
              <w:left w:val="nil"/>
              <w:bottom w:val="nil"/>
              <w:right w:val="nil"/>
            </w:tcBorders>
          </w:tcPr>
          <w:p w14:paraId="3E6EC343" w14:textId="77777777" w:rsidR="0021652D" w:rsidRPr="00B415E3" w:rsidRDefault="001B2301">
            <w:pPr>
              <w:spacing w:before="0"/>
              <w:jc w:val="right"/>
              <w:rPr>
                <w:sz w:val="20"/>
                <w:szCs w:val="20"/>
              </w:rPr>
            </w:pPr>
            <w:r w:rsidRPr="00B415E3">
              <w:rPr>
                <w:sz w:val="20"/>
                <w:szCs w:val="20"/>
              </w:rPr>
              <w:t>-0.61</w:t>
            </w:r>
          </w:p>
        </w:tc>
        <w:tc>
          <w:tcPr>
            <w:tcW w:w="618" w:type="dxa"/>
            <w:tcBorders>
              <w:top w:val="nil"/>
              <w:left w:val="nil"/>
              <w:bottom w:val="nil"/>
              <w:right w:val="nil"/>
            </w:tcBorders>
          </w:tcPr>
          <w:p w14:paraId="3A45C080" w14:textId="77777777" w:rsidR="0021652D" w:rsidRPr="00B415E3" w:rsidRDefault="001B2301">
            <w:pPr>
              <w:spacing w:before="0"/>
              <w:jc w:val="right"/>
              <w:rPr>
                <w:sz w:val="20"/>
                <w:szCs w:val="20"/>
              </w:rPr>
            </w:pPr>
            <w:r w:rsidRPr="00B415E3">
              <w:rPr>
                <w:sz w:val="20"/>
                <w:szCs w:val="20"/>
              </w:rPr>
              <w:t>0.72</w:t>
            </w:r>
          </w:p>
        </w:tc>
        <w:tc>
          <w:tcPr>
            <w:tcW w:w="566" w:type="dxa"/>
            <w:tcBorders>
              <w:top w:val="nil"/>
              <w:left w:val="nil"/>
              <w:bottom w:val="nil"/>
              <w:right w:val="nil"/>
            </w:tcBorders>
          </w:tcPr>
          <w:p w14:paraId="20F6BC34" w14:textId="77777777" w:rsidR="0021652D" w:rsidRPr="00B415E3" w:rsidRDefault="001B2301">
            <w:pPr>
              <w:spacing w:before="0"/>
              <w:jc w:val="right"/>
              <w:rPr>
                <w:sz w:val="20"/>
                <w:szCs w:val="20"/>
              </w:rPr>
            </w:pPr>
            <w:r w:rsidRPr="00B415E3">
              <w:rPr>
                <w:sz w:val="20"/>
                <w:szCs w:val="20"/>
              </w:rPr>
              <w:t>0.70</w:t>
            </w:r>
          </w:p>
        </w:tc>
        <w:tc>
          <w:tcPr>
            <w:tcW w:w="566" w:type="dxa"/>
            <w:tcBorders>
              <w:top w:val="nil"/>
              <w:left w:val="nil"/>
              <w:bottom w:val="nil"/>
              <w:right w:val="nil"/>
            </w:tcBorders>
          </w:tcPr>
          <w:p w14:paraId="349ED83B" w14:textId="77777777" w:rsidR="0021652D" w:rsidRPr="00B415E3" w:rsidRDefault="001B2301">
            <w:pPr>
              <w:spacing w:before="0"/>
              <w:jc w:val="right"/>
              <w:rPr>
                <w:b/>
                <w:sz w:val="20"/>
                <w:szCs w:val="20"/>
              </w:rPr>
            </w:pPr>
            <w:r w:rsidRPr="00B415E3">
              <w:rPr>
                <w:b/>
                <w:sz w:val="20"/>
                <w:szCs w:val="20"/>
              </w:rPr>
              <w:t>0.87</w:t>
            </w:r>
          </w:p>
        </w:tc>
        <w:tc>
          <w:tcPr>
            <w:tcW w:w="566" w:type="dxa"/>
            <w:tcBorders>
              <w:top w:val="nil"/>
              <w:left w:val="nil"/>
              <w:bottom w:val="nil"/>
              <w:right w:val="nil"/>
            </w:tcBorders>
          </w:tcPr>
          <w:p w14:paraId="4CDA11E5" w14:textId="77777777" w:rsidR="0021652D" w:rsidRPr="00B415E3" w:rsidRDefault="0021652D">
            <w:pPr>
              <w:spacing w:before="0"/>
              <w:jc w:val="right"/>
              <w:rPr>
                <w:sz w:val="20"/>
                <w:szCs w:val="20"/>
              </w:rPr>
            </w:pPr>
          </w:p>
        </w:tc>
        <w:tc>
          <w:tcPr>
            <w:tcW w:w="657" w:type="dxa"/>
            <w:tcBorders>
              <w:top w:val="nil"/>
              <w:left w:val="nil"/>
              <w:bottom w:val="nil"/>
              <w:right w:val="nil"/>
            </w:tcBorders>
          </w:tcPr>
          <w:p w14:paraId="64ED5C73" w14:textId="77777777" w:rsidR="0021652D" w:rsidRPr="00B415E3" w:rsidRDefault="0021652D">
            <w:pPr>
              <w:spacing w:before="0"/>
              <w:jc w:val="right"/>
              <w:rPr>
                <w:sz w:val="20"/>
                <w:szCs w:val="20"/>
              </w:rPr>
            </w:pPr>
          </w:p>
        </w:tc>
      </w:tr>
      <w:tr w:rsidR="00B415E3" w:rsidRPr="00B415E3" w14:paraId="1579B589" w14:textId="77777777">
        <w:tc>
          <w:tcPr>
            <w:tcW w:w="557" w:type="dxa"/>
            <w:tcBorders>
              <w:top w:val="nil"/>
              <w:left w:val="nil"/>
              <w:bottom w:val="nil"/>
              <w:right w:val="nil"/>
            </w:tcBorders>
          </w:tcPr>
          <w:p w14:paraId="0E5EFAB5" w14:textId="77777777" w:rsidR="0021652D" w:rsidRPr="00B415E3" w:rsidRDefault="001B2301">
            <w:pPr>
              <w:spacing w:before="0"/>
              <w:rPr>
                <w:sz w:val="20"/>
                <w:szCs w:val="20"/>
              </w:rPr>
            </w:pPr>
            <w:r w:rsidRPr="00B415E3">
              <w:rPr>
                <w:sz w:val="20"/>
                <w:szCs w:val="20"/>
              </w:rPr>
              <w:t>CI</w:t>
            </w:r>
          </w:p>
        </w:tc>
        <w:tc>
          <w:tcPr>
            <w:tcW w:w="756" w:type="dxa"/>
            <w:tcBorders>
              <w:top w:val="nil"/>
              <w:left w:val="nil"/>
              <w:bottom w:val="nil"/>
              <w:right w:val="nil"/>
            </w:tcBorders>
          </w:tcPr>
          <w:p w14:paraId="6CC4AFB8" w14:textId="77777777" w:rsidR="0021652D" w:rsidRPr="00B415E3" w:rsidRDefault="001B2301">
            <w:pPr>
              <w:spacing w:before="0"/>
              <w:jc w:val="right"/>
              <w:rPr>
                <w:sz w:val="20"/>
                <w:szCs w:val="20"/>
              </w:rPr>
            </w:pPr>
            <w:r w:rsidRPr="00B415E3">
              <w:rPr>
                <w:sz w:val="20"/>
                <w:szCs w:val="20"/>
              </w:rPr>
              <w:t>4.30</w:t>
            </w:r>
          </w:p>
        </w:tc>
        <w:tc>
          <w:tcPr>
            <w:tcW w:w="750" w:type="dxa"/>
            <w:tcBorders>
              <w:top w:val="nil"/>
              <w:left w:val="nil"/>
              <w:bottom w:val="nil"/>
              <w:right w:val="nil"/>
            </w:tcBorders>
          </w:tcPr>
          <w:p w14:paraId="50961380" w14:textId="77777777" w:rsidR="0021652D" w:rsidRPr="00B415E3" w:rsidRDefault="001B2301">
            <w:pPr>
              <w:spacing w:before="0"/>
              <w:jc w:val="right"/>
              <w:rPr>
                <w:sz w:val="20"/>
                <w:szCs w:val="20"/>
              </w:rPr>
            </w:pPr>
            <w:r w:rsidRPr="00B415E3">
              <w:rPr>
                <w:sz w:val="20"/>
                <w:szCs w:val="20"/>
              </w:rPr>
              <w:t>1.37</w:t>
            </w:r>
          </w:p>
        </w:tc>
        <w:tc>
          <w:tcPr>
            <w:tcW w:w="637" w:type="dxa"/>
            <w:tcBorders>
              <w:top w:val="nil"/>
              <w:left w:val="nil"/>
              <w:bottom w:val="nil"/>
              <w:right w:val="nil"/>
            </w:tcBorders>
          </w:tcPr>
          <w:p w14:paraId="2876FC14" w14:textId="77777777" w:rsidR="0021652D" w:rsidRPr="00B415E3" w:rsidRDefault="001B2301">
            <w:pPr>
              <w:spacing w:before="0"/>
              <w:jc w:val="right"/>
              <w:rPr>
                <w:sz w:val="20"/>
                <w:szCs w:val="20"/>
              </w:rPr>
            </w:pPr>
            <w:r w:rsidRPr="00B415E3">
              <w:rPr>
                <w:sz w:val="20"/>
                <w:szCs w:val="20"/>
              </w:rPr>
              <w:t>0.84</w:t>
            </w:r>
          </w:p>
        </w:tc>
        <w:tc>
          <w:tcPr>
            <w:tcW w:w="637" w:type="dxa"/>
            <w:tcBorders>
              <w:top w:val="nil"/>
              <w:left w:val="nil"/>
              <w:bottom w:val="nil"/>
              <w:right w:val="nil"/>
            </w:tcBorders>
          </w:tcPr>
          <w:p w14:paraId="77B1584A" w14:textId="77777777" w:rsidR="0021652D" w:rsidRPr="00B415E3" w:rsidRDefault="001B2301">
            <w:pPr>
              <w:spacing w:before="0"/>
              <w:jc w:val="right"/>
              <w:rPr>
                <w:sz w:val="20"/>
                <w:szCs w:val="20"/>
              </w:rPr>
            </w:pPr>
            <w:r w:rsidRPr="00B415E3">
              <w:rPr>
                <w:sz w:val="20"/>
                <w:szCs w:val="20"/>
              </w:rPr>
              <w:t>0.90</w:t>
            </w:r>
          </w:p>
        </w:tc>
        <w:tc>
          <w:tcPr>
            <w:tcW w:w="705" w:type="dxa"/>
            <w:tcBorders>
              <w:top w:val="nil"/>
              <w:left w:val="nil"/>
              <w:bottom w:val="nil"/>
              <w:right w:val="nil"/>
            </w:tcBorders>
          </w:tcPr>
          <w:p w14:paraId="69950498" w14:textId="77777777" w:rsidR="0021652D" w:rsidRPr="00B415E3" w:rsidRDefault="001B2301">
            <w:pPr>
              <w:spacing w:before="0"/>
              <w:jc w:val="right"/>
              <w:rPr>
                <w:sz w:val="20"/>
                <w:szCs w:val="20"/>
              </w:rPr>
            </w:pPr>
            <w:r w:rsidRPr="00B415E3">
              <w:rPr>
                <w:sz w:val="20"/>
                <w:szCs w:val="20"/>
              </w:rPr>
              <w:t>0.76</w:t>
            </w:r>
          </w:p>
        </w:tc>
        <w:tc>
          <w:tcPr>
            <w:tcW w:w="642" w:type="dxa"/>
            <w:tcBorders>
              <w:top w:val="nil"/>
              <w:left w:val="nil"/>
              <w:bottom w:val="nil"/>
              <w:right w:val="nil"/>
            </w:tcBorders>
          </w:tcPr>
          <w:p w14:paraId="14DE22D9" w14:textId="77777777" w:rsidR="0021652D" w:rsidRPr="00B415E3" w:rsidRDefault="001B2301">
            <w:pPr>
              <w:spacing w:before="0"/>
              <w:jc w:val="right"/>
              <w:rPr>
                <w:sz w:val="20"/>
                <w:szCs w:val="20"/>
              </w:rPr>
            </w:pPr>
            <w:r w:rsidRPr="00B415E3">
              <w:rPr>
                <w:sz w:val="20"/>
                <w:szCs w:val="20"/>
              </w:rPr>
              <w:t>0.52</w:t>
            </w:r>
          </w:p>
        </w:tc>
        <w:tc>
          <w:tcPr>
            <w:tcW w:w="637" w:type="dxa"/>
            <w:tcBorders>
              <w:top w:val="nil"/>
              <w:left w:val="nil"/>
              <w:bottom w:val="nil"/>
              <w:right w:val="nil"/>
            </w:tcBorders>
          </w:tcPr>
          <w:p w14:paraId="28EB9A54" w14:textId="77777777" w:rsidR="0021652D" w:rsidRPr="00B415E3" w:rsidRDefault="001B2301">
            <w:pPr>
              <w:spacing w:before="0"/>
              <w:jc w:val="right"/>
              <w:rPr>
                <w:sz w:val="20"/>
                <w:szCs w:val="20"/>
              </w:rPr>
            </w:pPr>
            <w:r w:rsidRPr="00B415E3">
              <w:rPr>
                <w:sz w:val="20"/>
                <w:szCs w:val="20"/>
              </w:rPr>
              <w:t>-0.33</w:t>
            </w:r>
          </w:p>
        </w:tc>
        <w:tc>
          <w:tcPr>
            <w:tcW w:w="637" w:type="dxa"/>
            <w:tcBorders>
              <w:top w:val="nil"/>
              <w:left w:val="nil"/>
              <w:bottom w:val="nil"/>
              <w:right w:val="nil"/>
            </w:tcBorders>
          </w:tcPr>
          <w:p w14:paraId="718C4488" w14:textId="77777777" w:rsidR="0021652D" w:rsidRPr="00B415E3" w:rsidRDefault="001B2301">
            <w:pPr>
              <w:spacing w:before="0"/>
              <w:jc w:val="right"/>
              <w:rPr>
                <w:sz w:val="20"/>
                <w:szCs w:val="20"/>
              </w:rPr>
            </w:pPr>
            <w:r w:rsidRPr="00B415E3">
              <w:rPr>
                <w:sz w:val="20"/>
                <w:szCs w:val="20"/>
              </w:rPr>
              <w:t>-0.45</w:t>
            </w:r>
          </w:p>
        </w:tc>
        <w:tc>
          <w:tcPr>
            <w:tcW w:w="618" w:type="dxa"/>
            <w:tcBorders>
              <w:top w:val="nil"/>
              <w:left w:val="nil"/>
              <w:bottom w:val="nil"/>
              <w:right w:val="nil"/>
            </w:tcBorders>
          </w:tcPr>
          <w:p w14:paraId="2D2E0234" w14:textId="77777777" w:rsidR="0021652D" w:rsidRPr="00B415E3" w:rsidRDefault="001B2301">
            <w:pPr>
              <w:spacing w:before="0"/>
              <w:jc w:val="right"/>
              <w:rPr>
                <w:sz w:val="20"/>
                <w:szCs w:val="20"/>
              </w:rPr>
            </w:pPr>
            <w:r w:rsidRPr="00B415E3">
              <w:rPr>
                <w:sz w:val="20"/>
                <w:szCs w:val="20"/>
              </w:rPr>
              <w:t>0.59</w:t>
            </w:r>
          </w:p>
        </w:tc>
        <w:tc>
          <w:tcPr>
            <w:tcW w:w="566" w:type="dxa"/>
            <w:tcBorders>
              <w:top w:val="nil"/>
              <w:left w:val="nil"/>
              <w:bottom w:val="nil"/>
              <w:right w:val="nil"/>
            </w:tcBorders>
          </w:tcPr>
          <w:p w14:paraId="591754D7" w14:textId="77777777" w:rsidR="0021652D" w:rsidRPr="00B415E3" w:rsidRDefault="001B2301">
            <w:pPr>
              <w:spacing w:before="0"/>
              <w:jc w:val="right"/>
              <w:rPr>
                <w:sz w:val="20"/>
                <w:szCs w:val="20"/>
              </w:rPr>
            </w:pPr>
            <w:r w:rsidRPr="00B415E3">
              <w:rPr>
                <w:sz w:val="20"/>
                <w:szCs w:val="20"/>
              </w:rPr>
              <w:t>0.65</w:t>
            </w:r>
          </w:p>
        </w:tc>
        <w:tc>
          <w:tcPr>
            <w:tcW w:w="566" w:type="dxa"/>
            <w:tcBorders>
              <w:top w:val="nil"/>
              <w:left w:val="nil"/>
              <w:bottom w:val="nil"/>
              <w:right w:val="nil"/>
            </w:tcBorders>
          </w:tcPr>
          <w:p w14:paraId="6F1E8EAD" w14:textId="77777777" w:rsidR="0021652D" w:rsidRPr="00B415E3" w:rsidRDefault="001B2301">
            <w:pPr>
              <w:spacing w:before="0"/>
              <w:jc w:val="right"/>
              <w:rPr>
                <w:sz w:val="20"/>
                <w:szCs w:val="20"/>
              </w:rPr>
            </w:pPr>
            <w:r w:rsidRPr="00B415E3">
              <w:rPr>
                <w:sz w:val="20"/>
                <w:szCs w:val="20"/>
              </w:rPr>
              <w:t>0.71</w:t>
            </w:r>
          </w:p>
        </w:tc>
        <w:tc>
          <w:tcPr>
            <w:tcW w:w="566" w:type="dxa"/>
            <w:tcBorders>
              <w:top w:val="nil"/>
              <w:left w:val="nil"/>
              <w:bottom w:val="nil"/>
              <w:right w:val="nil"/>
            </w:tcBorders>
          </w:tcPr>
          <w:p w14:paraId="02546322" w14:textId="77777777" w:rsidR="0021652D" w:rsidRPr="00B415E3" w:rsidRDefault="001B2301">
            <w:pPr>
              <w:spacing w:before="0"/>
              <w:jc w:val="right"/>
              <w:rPr>
                <w:b/>
                <w:sz w:val="20"/>
                <w:szCs w:val="20"/>
              </w:rPr>
            </w:pPr>
            <w:r w:rsidRPr="00B415E3">
              <w:rPr>
                <w:b/>
                <w:sz w:val="20"/>
                <w:szCs w:val="20"/>
              </w:rPr>
              <w:t>0.87</w:t>
            </w:r>
          </w:p>
        </w:tc>
        <w:tc>
          <w:tcPr>
            <w:tcW w:w="657" w:type="dxa"/>
            <w:tcBorders>
              <w:top w:val="nil"/>
              <w:left w:val="nil"/>
              <w:bottom w:val="nil"/>
              <w:right w:val="nil"/>
            </w:tcBorders>
          </w:tcPr>
          <w:p w14:paraId="7A6BD28F" w14:textId="77777777" w:rsidR="0021652D" w:rsidRPr="00B415E3" w:rsidRDefault="0021652D">
            <w:pPr>
              <w:spacing w:before="0"/>
              <w:jc w:val="right"/>
              <w:rPr>
                <w:sz w:val="20"/>
                <w:szCs w:val="20"/>
              </w:rPr>
            </w:pPr>
          </w:p>
        </w:tc>
      </w:tr>
      <w:tr w:rsidR="00B415E3" w:rsidRPr="00B415E3" w14:paraId="0D531B9F" w14:textId="77777777">
        <w:tc>
          <w:tcPr>
            <w:tcW w:w="557" w:type="dxa"/>
            <w:tcBorders>
              <w:top w:val="nil"/>
              <w:left w:val="nil"/>
              <w:bottom w:val="nil"/>
              <w:right w:val="nil"/>
            </w:tcBorders>
          </w:tcPr>
          <w:p w14:paraId="7935FD71" w14:textId="77777777" w:rsidR="0021652D" w:rsidRPr="00B415E3" w:rsidRDefault="001B2301">
            <w:pPr>
              <w:spacing w:before="0"/>
              <w:rPr>
                <w:sz w:val="20"/>
                <w:szCs w:val="20"/>
              </w:rPr>
            </w:pPr>
            <w:r w:rsidRPr="00B415E3">
              <w:rPr>
                <w:sz w:val="20"/>
                <w:szCs w:val="20"/>
              </w:rPr>
              <w:t>T1</w:t>
            </w:r>
          </w:p>
        </w:tc>
        <w:tc>
          <w:tcPr>
            <w:tcW w:w="756" w:type="dxa"/>
            <w:tcBorders>
              <w:top w:val="nil"/>
              <w:left w:val="nil"/>
              <w:bottom w:val="nil"/>
              <w:right w:val="nil"/>
            </w:tcBorders>
          </w:tcPr>
          <w:p w14:paraId="2748CC7E" w14:textId="77777777" w:rsidR="0021652D" w:rsidRPr="00B415E3" w:rsidRDefault="001B2301">
            <w:pPr>
              <w:spacing w:before="0"/>
              <w:jc w:val="right"/>
              <w:rPr>
                <w:sz w:val="20"/>
                <w:szCs w:val="20"/>
              </w:rPr>
            </w:pPr>
            <w:r w:rsidRPr="00B415E3">
              <w:rPr>
                <w:sz w:val="20"/>
                <w:szCs w:val="20"/>
              </w:rPr>
              <w:t>14.46</w:t>
            </w:r>
          </w:p>
        </w:tc>
        <w:tc>
          <w:tcPr>
            <w:tcW w:w="750" w:type="dxa"/>
            <w:tcBorders>
              <w:top w:val="nil"/>
              <w:left w:val="nil"/>
              <w:bottom w:val="nil"/>
              <w:right w:val="nil"/>
            </w:tcBorders>
          </w:tcPr>
          <w:p w14:paraId="2ED9BBBE" w14:textId="77777777" w:rsidR="0021652D" w:rsidRPr="00B415E3" w:rsidRDefault="001B2301">
            <w:pPr>
              <w:spacing w:before="0"/>
              <w:jc w:val="right"/>
              <w:rPr>
                <w:sz w:val="20"/>
                <w:szCs w:val="20"/>
              </w:rPr>
            </w:pPr>
            <w:r w:rsidRPr="00B415E3">
              <w:rPr>
                <w:sz w:val="20"/>
                <w:szCs w:val="20"/>
              </w:rPr>
              <w:t>5.40</w:t>
            </w:r>
          </w:p>
        </w:tc>
        <w:tc>
          <w:tcPr>
            <w:tcW w:w="637" w:type="dxa"/>
            <w:tcBorders>
              <w:top w:val="nil"/>
              <w:left w:val="nil"/>
              <w:bottom w:val="nil"/>
              <w:right w:val="nil"/>
            </w:tcBorders>
          </w:tcPr>
          <w:p w14:paraId="720423D0" w14:textId="77777777" w:rsidR="0021652D" w:rsidRPr="00B415E3" w:rsidRDefault="001B2301">
            <w:pPr>
              <w:spacing w:before="0"/>
              <w:jc w:val="right"/>
              <w:rPr>
                <w:sz w:val="20"/>
                <w:szCs w:val="20"/>
              </w:rPr>
            </w:pPr>
            <w:r w:rsidRPr="00B415E3">
              <w:rPr>
                <w:sz w:val="20"/>
                <w:szCs w:val="20"/>
              </w:rPr>
              <w:t>1.00</w:t>
            </w:r>
          </w:p>
        </w:tc>
        <w:tc>
          <w:tcPr>
            <w:tcW w:w="637" w:type="dxa"/>
            <w:tcBorders>
              <w:top w:val="nil"/>
              <w:left w:val="nil"/>
              <w:bottom w:val="nil"/>
              <w:right w:val="nil"/>
            </w:tcBorders>
          </w:tcPr>
          <w:p w14:paraId="23DEE0D2" w14:textId="77777777" w:rsidR="0021652D" w:rsidRPr="00B415E3" w:rsidRDefault="001B2301">
            <w:pPr>
              <w:spacing w:before="0"/>
              <w:jc w:val="right"/>
              <w:rPr>
                <w:sz w:val="20"/>
                <w:szCs w:val="20"/>
              </w:rPr>
            </w:pPr>
            <w:r w:rsidRPr="00B415E3">
              <w:rPr>
                <w:sz w:val="20"/>
                <w:szCs w:val="20"/>
              </w:rPr>
              <w:t>1.00</w:t>
            </w:r>
          </w:p>
        </w:tc>
        <w:tc>
          <w:tcPr>
            <w:tcW w:w="705" w:type="dxa"/>
            <w:tcBorders>
              <w:top w:val="nil"/>
              <w:left w:val="nil"/>
              <w:bottom w:val="nil"/>
              <w:right w:val="nil"/>
            </w:tcBorders>
          </w:tcPr>
          <w:p w14:paraId="38638E50" w14:textId="77777777" w:rsidR="0021652D" w:rsidRPr="00B415E3" w:rsidRDefault="001B2301">
            <w:pPr>
              <w:spacing w:before="0"/>
              <w:jc w:val="right"/>
              <w:rPr>
                <w:sz w:val="20"/>
                <w:szCs w:val="20"/>
              </w:rPr>
            </w:pPr>
            <w:r w:rsidRPr="00B415E3">
              <w:rPr>
                <w:sz w:val="20"/>
                <w:szCs w:val="20"/>
              </w:rPr>
              <w:t>1.00</w:t>
            </w:r>
          </w:p>
        </w:tc>
        <w:tc>
          <w:tcPr>
            <w:tcW w:w="642" w:type="dxa"/>
            <w:tcBorders>
              <w:top w:val="nil"/>
              <w:left w:val="nil"/>
              <w:bottom w:val="nil"/>
              <w:right w:val="nil"/>
            </w:tcBorders>
          </w:tcPr>
          <w:p w14:paraId="5E576B7A" w14:textId="77777777" w:rsidR="0021652D" w:rsidRPr="00B415E3" w:rsidRDefault="001B2301">
            <w:pPr>
              <w:spacing w:before="0"/>
              <w:jc w:val="right"/>
              <w:rPr>
                <w:sz w:val="20"/>
                <w:szCs w:val="20"/>
              </w:rPr>
            </w:pPr>
            <w:r w:rsidRPr="00B415E3">
              <w:rPr>
                <w:sz w:val="20"/>
                <w:szCs w:val="20"/>
              </w:rPr>
              <w:t>0.58</w:t>
            </w:r>
          </w:p>
        </w:tc>
        <w:tc>
          <w:tcPr>
            <w:tcW w:w="637" w:type="dxa"/>
            <w:tcBorders>
              <w:top w:val="nil"/>
              <w:left w:val="nil"/>
              <w:bottom w:val="nil"/>
              <w:right w:val="nil"/>
            </w:tcBorders>
          </w:tcPr>
          <w:p w14:paraId="5AC30E0C" w14:textId="77777777" w:rsidR="0021652D" w:rsidRPr="00B415E3" w:rsidRDefault="001B2301">
            <w:pPr>
              <w:spacing w:before="0"/>
              <w:jc w:val="right"/>
              <w:rPr>
                <w:sz w:val="20"/>
                <w:szCs w:val="20"/>
              </w:rPr>
            </w:pPr>
            <w:r w:rsidRPr="00B415E3">
              <w:rPr>
                <w:sz w:val="20"/>
                <w:szCs w:val="20"/>
              </w:rPr>
              <w:t>-0.42</w:t>
            </w:r>
          </w:p>
        </w:tc>
        <w:tc>
          <w:tcPr>
            <w:tcW w:w="637" w:type="dxa"/>
            <w:tcBorders>
              <w:top w:val="nil"/>
              <w:left w:val="nil"/>
              <w:bottom w:val="nil"/>
              <w:right w:val="nil"/>
            </w:tcBorders>
          </w:tcPr>
          <w:p w14:paraId="07FEBD53" w14:textId="77777777" w:rsidR="0021652D" w:rsidRPr="00B415E3" w:rsidRDefault="001B2301">
            <w:pPr>
              <w:spacing w:before="0"/>
              <w:jc w:val="right"/>
              <w:rPr>
                <w:sz w:val="20"/>
                <w:szCs w:val="20"/>
              </w:rPr>
            </w:pPr>
            <w:r w:rsidRPr="00B415E3">
              <w:rPr>
                <w:sz w:val="20"/>
                <w:szCs w:val="20"/>
              </w:rPr>
              <w:t>-0.49</w:t>
            </w:r>
          </w:p>
        </w:tc>
        <w:tc>
          <w:tcPr>
            <w:tcW w:w="618" w:type="dxa"/>
            <w:tcBorders>
              <w:top w:val="nil"/>
              <w:left w:val="nil"/>
              <w:bottom w:val="nil"/>
              <w:right w:val="nil"/>
            </w:tcBorders>
          </w:tcPr>
          <w:p w14:paraId="52B1E042" w14:textId="77777777" w:rsidR="0021652D" w:rsidRPr="00B415E3" w:rsidRDefault="001B2301">
            <w:pPr>
              <w:spacing w:before="0"/>
              <w:jc w:val="right"/>
              <w:rPr>
                <w:sz w:val="20"/>
                <w:szCs w:val="20"/>
              </w:rPr>
            </w:pPr>
            <w:r w:rsidRPr="00B415E3">
              <w:rPr>
                <w:sz w:val="20"/>
                <w:szCs w:val="20"/>
              </w:rPr>
              <w:t>0.63</w:t>
            </w:r>
          </w:p>
        </w:tc>
        <w:tc>
          <w:tcPr>
            <w:tcW w:w="566" w:type="dxa"/>
            <w:tcBorders>
              <w:top w:val="nil"/>
              <w:left w:val="nil"/>
              <w:bottom w:val="nil"/>
              <w:right w:val="nil"/>
            </w:tcBorders>
          </w:tcPr>
          <w:p w14:paraId="0CF52C48" w14:textId="77777777" w:rsidR="0021652D" w:rsidRPr="00B415E3" w:rsidRDefault="001B2301">
            <w:pPr>
              <w:spacing w:before="0"/>
              <w:jc w:val="right"/>
              <w:rPr>
                <w:sz w:val="20"/>
                <w:szCs w:val="20"/>
              </w:rPr>
            </w:pPr>
            <w:r w:rsidRPr="00B415E3">
              <w:rPr>
                <w:sz w:val="20"/>
                <w:szCs w:val="20"/>
              </w:rPr>
              <w:t>0.67</w:t>
            </w:r>
          </w:p>
        </w:tc>
        <w:tc>
          <w:tcPr>
            <w:tcW w:w="566" w:type="dxa"/>
            <w:tcBorders>
              <w:top w:val="nil"/>
              <w:left w:val="nil"/>
              <w:bottom w:val="nil"/>
              <w:right w:val="nil"/>
            </w:tcBorders>
          </w:tcPr>
          <w:p w14:paraId="34B073A4" w14:textId="77777777" w:rsidR="0021652D" w:rsidRPr="00B415E3" w:rsidRDefault="001B2301">
            <w:pPr>
              <w:spacing w:before="0"/>
              <w:jc w:val="right"/>
              <w:rPr>
                <w:sz w:val="20"/>
                <w:szCs w:val="20"/>
              </w:rPr>
            </w:pPr>
            <w:r w:rsidRPr="00B415E3">
              <w:rPr>
                <w:sz w:val="20"/>
                <w:szCs w:val="20"/>
              </w:rPr>
              <w:t>0.77</w:t>
            </w:r>
          </w:p>
        </w:tc>
        <w:tc>
          <w:tcPr>
            <w:tcW w:w="566" w:type="dxa"/>
            <w:tcBorders>
              <w:top w:val="nil"/>
              <w:left w:val="nil"/>
              <w:bottom w:val="nil"/>
              <w:right w:val="nil"/>
            </w:tcBorders>
          </w:tcPr>
          <w:p w14:paraId="705117DE" w14:textId="77777777" w:rsidR="0021652D" w:rsidRPr="00B415E3" w:rsidRDefault="001B2301">
            <w:pPr>
              <w:spacing w:before="0"/>
              <w:jc w:val="right"/>
              <w:rPr>
                <w:sz w:val="20"/>
                <w:szCs w:val="20"/>
              </w:rPr>
            </w:pPr>
            <w:r w:rsidRPr="00B415E3">
              <w:rPr>
                <w:sz w:val="20"/>
                <w:szCs w:val="20"/>
              </w:rPr>
              <w:t>0.77</w:t>
            </w:r>
          </w:p>
        </w:tc>
        <w:tc>
          <w:tcPr>
            <w:tcW w:w="657" w:type="dxa"/>
            <w:tcBorders>
              <w:top w:val="nil"/>
              <w:left w:val="nil"/>
              <w:bottom w:val="nil"/>
              <w:right w:val="nil"/>
            </w:tcBorders>
          </w:tcPr>
          <w:p w14:paraId="720D8FD0" w14:textId="77777777" w:rsidR="0021652D" w:rsidRPr="00B415E3" w:rsidRDefault="001B2301">
            <w:pPr>
              <w:spacing w:before="0"/>
              <w:jc w:val="right"/>
              <w:rPr>
                <w:b/>
                <w:sz w:val="20"/>
                <w:szCs w:val="20"/>
              </w:rPr>
            </w:pPr>
            <w:r w:rsidRPr="00B415E3">
              <w:rPr>
                <w:b/>
                <w:sz w:val="20"/>
                <w:szCs w:val="20"/>
              </w:rPr>
              <w:t>1.00</w:t>
            </w:r>
          </w:p>
        </w:tc>
      </w:tr>
      <w:tr w:rsidR="00B415E3" w:rsidRPr="00B415E3" w14:paraId="5A7FE93A" w14:textId="77777777">
        <w:tc>
          <w:tcPr>
            <w:tcW w:w="8931" w:type="dxa"/>
            <w:gridSpan w:val="14"/>
            <w:tcBorders>
              <w:top w:val="single" w:sz="4" w:space="0" w:color="000000"/>
              <w:left w:val="nil"/>
              <w:bottom w:val="nil"/>
              <w:right w:val="nil"/>
            </w:tcBorders>
          </w:tcPr>
          <w:p w14:paraId="48575C62" w14:textId="77777777" w:rsidR="0021652D" w:rsidRPr="00B415E3" w:rsidRDefault="001B2301">
            <w:pPr>
              <w:spacing w:before="0"/>
              <w:rPr>
                <w:sz w:val="20"/>
                <w:szCs w:val="20"/>
              </w:rPr>
            </w:pPr>
            <w:r w:rsidRPr="00B415E3">
              <w:rPr>
                <w:sz w:val="20"/>
                <w:szCs w:val="20"/>
              </w:rPr>
              <w:t>Notes. STD, standard deviation; CA, Cronbach alpha, CR, composite reliability; AVE, average variance extracted; correlation matrix, the diagonal elements are the square roots of AVE.</w:t>
            </w:r>
          </w:p>
        </w:tc>
      </w:tr>
    </w:tbl>
    <w:p w14:paraId="782336CD" w14:textId="77777777" w:rsidR="0021652D" w:rsidRPr="00B415E3" w:rsidRDefault="001B2301">
      <w:pPr>
        <w:spacing w:line="480" w:lineRule="auto"/>
        <w:rPr>
          <w:sz w:val="24"/>
          <w:szCs w:val="24"/>
        </w:rPr>
      </w:pPr>
      <w:r w:rsidRPr="00B415E3">
        <w:rPr>
          <w:sz w:val="24"/>
          <w:szCs w:val="24"/>
        </w:rPr>
        <w:t>The discriminant validity was tested using the Fornell–Lacker Criterion, i.e., the square root of AVE for each construct to be greater than its correlation with any other construct. Additionally, we evaluated the Heterotrait-monotrait ratio of correlations (HTMT) as suggested by Henseler et al. (2015). Based on the results of Table 1, and the square root of AVE criterion, discriminant validity was established. Also, as shown in Appendix C, the HTMT criterion shows that only one factor is slightly above the conservative threshold of 0.85. Thus, the discriminant validity is demonstrated by the HTMT method. The descriptive analysis (Appendix C) reveals that UI (mean=4.42) and DC (mean=4.45) are reported as the highest comparison responses and players have a high online social gaming self-efficacy belief (mean= 4.64).</w:t>
      </w:r>
    </w:p>
    <w:p w14:paraId="79FA436A" w14:textId="77777777" w:rsidR="0021652D" w:rsidRPr="00B415E3" w:rsidRDefault="001B2301">
      <w:pPr>
        <w:pStyle w:val="Heading2"/>
        <w:numPr>
          <w:ilvl w:val="1"/>
          <w:numId w:val="2"/>
        </w:numPr>
        <w:spacing w:line="480" w:lineRule="auto"/>
        <w:rPr>
          <w:color w:val="auto"/>
        </w:rPr>
      </w:pPr>
      <w:r w:rsidRPr="00B415E3">
        <w:rPr>
          <w:color w:val="auto"/>
        </w:rPr>
        <w:t>Structural Model</w:t>
      </w:r>
    </w:p>
    <w:p w14:paraId="10F93DE9" w14:textId="33ABF7AC" w:rsidR="0021652D" w:rsidRPr="00B415E3" w:rsidRDefault="001B2301">
      <w:pPr>
        <w:spacing w:line="480" w:lineRule="auto"/>
        <w:rPr>
          <w:sz w:val="24"/>
          <w:szCs w:val="24"/>
        </w:rPr>
      </w:pPr>
      <w:r w:rsidRPr="00B415E3">
        <w:rPr>
          <w:sz w:val="24"/>
          <w:szCs w:val="24"/>
        </w:rPr>
        <w:t xml:space="preserve">The results of the structural model are reported in Figure 3 and Table 2. The estimated model explains 55% of the variance in players’ intention to continue playing online social games, and 59% in actual playing behaviour (time T1). Furthermore, besides just examining the intention to continue playing a social game, we tested if the players’ intention to continue was actually realized in time T1. From what we observe in Figure 3, the continuance intention (CI) to play the online social game is positively related (p&lt;0.001) with the actual continuance of playing T1. Specifically, </w:t>
      </w:r>
      <w:r w:rsidRPr="00B415E3">
        <w:rPr>
          <w:sz w:val="24"/>
          <w:szCs w:val="24"/>
        </w:rPr>
        <w:lastRenderedPageBreak/>
        <w:t>we observe that more than 77% of the users who indicated intention to continue playing, did continue playing the game in T1.</w:t>
      </w:r>
    </w:p>
    <w:p w14:paraId="65524485" w14:textId="77777777" w:rsidR="0021652D" w:rsidRPr="00B415E3" w:rsidRDefault="001B2301" w:rsidP="00D91A11">
      <w:pPr>
        <w:spacing w:before="0" w:line="480" w:lineRule="auto"/>
      </w:pPr>
      <w:r w:rsidRPr="00B415E3">
        <w:t>Figure 3: Research model results</w:t>
      </w:r>
    </w:p>
    <w:p w14:paraId="201B8167" w14:textId="3CBBF1B3" w:rsidR="0021652D" w:rsidRPr="00B415E3" w:rsidRDefault="001B2301" w:rsidP="00D91A11">
      <w:pPr>
        <w:spacing w:line="480" w:lineRule="auto"/>
        <w:jc w:val="center"/>
      </w:pPr>
      <w:r w:rsidRPr="00B415E3">
        <w:rPr>
          <w:noProof/>
          <w:lang w:val="es-ES" w:eastAsia="es-ES"/>
        </w:rPr>
        <w:drawing>
          <wp:inline distT="114300" distB="114300" distL="114300" distR="114300" wp14:anchorId="08EC25B1" wp14:editId="666EB3D7">
            <wp:extent cx="4805800" cy="336653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r="7409" b="11347"/>
                    <a:stretch>
                      <a:fillRect/>
                    </a:stretch>
                  </pic:blipFill>
                  <pic:spPr>
                    <a:xfrm>
                      <a:off x="0" y="0"/>
                      <a:ext cx="4805800" cy="3366536"/>
                    </a:xfrm>
                    <a:prstGeom prst="rect">
                      <a:avLst/>
                    </a:prstGeom>
                    <a:ln/>
                  </pic:spPr>
                </pic:pic>
              </a:graphicData>
            </a:graphic>
          </wp:inline>
        </w:drawing>
      </w:r>
    </w:p>
    <w:p w14:paraId="11344363" w14:textId="1E1F6A4C" w:rsidR="00D91A11" w:rsidRPr="00B415E3" w:rsidRDefault="00D91A11" w:rsidP="00D91A11">
      <w:pPr>
        <w:spacing w:line="480" w:lineRule="auto"/>
        <w:rPr>
          <w:sz w:val="24"/>
          <w:szCs w:val="24"/>
        </w:rPr>
      </w:pPr>
      <w:r w:rsidRPr="00B415E3">
        <w:rPr>
          <w:sz w:val="24"/>
          <w:szCs w:val="24"/>
        </w:rPr>
        <w:t>The results show that both online social gaming self-efficacy (</w:t>
      </w:r>
      <w:r w:rsidRPr="00B415E3">
        <w:rPr>
          <w:sz w:val="24"/>
          <w:szCs w:val="24"/>
          <w:highlight w:val="white"/>
        </w:rPr>
        <w:t>β</w:t>
      </w:r>
      <w:r w:rsidRPr="00B415E3">
        <w:rPr>
          <w:sz w:val="24"/>
          <w:szCs w:val="24"/>
        </w:rPr>
        <w:t>=0.31, p&lt;0.001) and perceived enjoyment (</w:t>
      </w:r>
      <w:r w:rsidRPr="00B415E3">
        <w:rPr>
          <w:sz w:val="24"/>
          <w:szCs w:val="24"/>
          <w:highlight w:val="white"/>
        </w:rPr>
        <w:t>β</w:t>
      </w:r>
      <w:r w:rsidRPr="00B415E3">
        <w:rPr>
          <w:sz w:val="24"/>
          <w:szCs w:val="24"/>
        </w:rPr>
        <w:t>=0.49, p&lt;0.001) have a positive impact on continuance intention (CI), supporting H5b and H6, respectively. Together, these constructs can explain 55% of variance for players’ continuance intention. Also, the online social gaming self-efficacy (</w:t>
      </w:r>
      <w:r w:rsidRPr="00B415E3">
        <w:rPr>
          <w:sz w:val="24"/>
          <w:szCs w:val="24"/>
          <w:highlight w:val="white"/>
        </w:rPr>
        <w:t>β</w:t>
      </w:r>
      <w:r w:rsidRPr="00B415E3">
        <w:rPr>
          <w:sz w:val="24"/>
          <w:szCs w:val="24"/>
        </w:rPr>
        <w:t xml:space="preserve">=0.21, p&lt;0.001) has a positive impact on perceived enjoyment, supporting the H5a hypothesis. </w:t>
      </w:r>
    </w:p>
    <w:tbl>
      <w:tblPr>
        <w:tblStyle w:val="ab"/>
        <w:tblW w:w="9090" w:type="dxa"/>
        <w:tblLayout w:type="fixed"/>
        <w:tblLook w:val="0400" w:firstRow="0" w:lastRow="0" w:firstColumn="0" w:lastColumn="0" w:noHBand="0" w:noVBand="1"/>
      </w:tblPr>
      <w:tblGrid>
        <w:gridCol w:w="786"/>
        <w:gridCol w:w="1374"/>
        <w:gridCol w:w="1769"/>
        <w:gridCol w:w="1290"/>
        <w:gridCol w:w="1080"/>
        <w:gridCol w:w="2791"/>
      </w:tblGrid>
      <w:tr w:rsidR="00B415E3" w:rsidRPr="00B415E3" w14:paraId="672B84A0" w14:textId="77777777">
        <w:trPr>
          <w:trHeight w:val="300"/>
        </w:trPr>
        <w:tc>
          <w:tcPr>
            <w:tcW w:w="9090" w:type="dxa"/>
            <w:gridSpan w:val="6"/>
            <w:tcBorders>
              <w:bottom w:val="single" w:sz="4" w:space="0" w:color="000000"/>
            </w:tcBorders>
          </w:tcPr>
          <w:p w14:paraId="5A401326" w14:textId="77777777" w:rsidR="0021652D" w:rsidRPr="00B415E3" w:rsidRDefault="001B2301">
            <w:pPr>
              <w:spacing w:line="480" w:lineRule="auto"/>
            </w:pPr>
            <w:r w:rsidRPr="00B415E3">
              <w:t>Table 2: Structural model: path coefficients, p-values</w:t>
            </w:r>
          </w:p>
        </w:tc>
      </w:tr>
      <w:tr w:rsidR="00B415E3" w:rsidRPr="00B415E3" w14:paraId="57139D8F" w14:textId="77777777">
        <w:trPr>
          <w:trHeight w:val="300"/>
        </w:trPr>
        <w:tc>
          <w:tcPr>
            <w:tcW w:w="786" w:type="dxa"/>
            <w:tcBorders>
              <w:top w:val="single" w:sz="4" w:space="0" w:color="000000"/>
              <w:bottom w:val="single" w:sz="4" w:space="0" w:color="000000"/>
            </w:tcBorders>
          </w:tcPr>
          <w:p w14:paraId="0B8BD694" w14:textId="77777777" w:rsidR="0021652D" w:rsidRPr="00B415E3" w:rsidRDefault="0021652D">
            <w:pPr>
              <w:spacing w:before="0"/>
              <w:jc w:val="center"/>
            </w:pPr>
          </w:p>
        </w:tc>
        <w:tc>
          <w:tcPr>
            <w:tcW w:w="1374" w:type="dxa"/>
            <w:tcBorders>
              <w:top w:val="single" w:sz="4" w:space="0" w:color="000000"/>
              <w:bottom w:val="single" w:sz="4" w:space="0" w:color="000000"/>
            </w:tcBorders>
            <w:shd w:val="clear" w:color="auto" w:fill="auto"/>
            <w:vAlign w:val="center"/>
          </w:tcPr>
          <w:p w14:paraId="0EB3A730" w14:textId="77777777" w:rsidR="0021652D" w:rsidRPr="00B415E3" w:rsidRDefault="001B2301">
            <w:pPr>
              <w:spacing w:before="0"/>
              <w:jc w:val="left"/>
            </w:pPr>
            <w:r w:rsidRPr="00B415E3">
              <w:t>Path</w:t>
            </w:r>
          </w:p>
        </w:tc>
        <w:tc>
          <w:tcPr>
            <w:tcW w:w="1769" w:type="dxa"/>
            <w:tcBorders>
              <w:top w:val="single" w:sz="4" w:space="0" w:color="000000"/>
              <w:bottom w:val="single" w:sz="4" w:space="0" w:color="000000"/>
            </w:tcBorders>
            <w:shd w:val="clear" w:color="auto" w:fill="auto"/>
            <w:vAlign w:val="center"/>
          </w:tcPr>
          <w:p w14:paraId="1D21917D" w14:textId="77777777" w:rsidR="0021652D" w:rsidRPr="00B415E3" w:rsidRDefault="001B2301">
            <w:pPr>
              <w:spacing w:before="0"/>
              <w:jc w:val="center"/>
            </w:pPr>
            <w:r w:rsidRPr="00B415E3">
              <w:t>Path  coefficient</w:t>
            </w:r>
          </w:p>
        </w:tc>
        <w:tc>
          <w:tcPr>
            <w:tcW w:w="1290" w:type="dxa"/>
            <w:tcBorders>
              <w:top w:val="single" w:sz="4" w:space="0" w:color="000000"/>
              <w:bottom w:val="single" w:sz="4" w:space="0" w:color="000000"/>
            </w:tcBorders>
            <w:shd w:val="clear" w:color="auto" w:fill="auto"/>
            <w:vAlign w:val="center"/>
          </w:tcPr>
          <w:p w14:paraId="2BD732F7" w14:textId="77777777" w:rsidR="0021652D" w:rsidRPr="00B415E3" w:rsidRDefault="001B2301">
            <w:pPr>
              <w:spacing w:before="0"/>
              <w:jc w:val="right"/>
            </w:pPr>
            <w:r w:rsidRPr="00B415E3">
              <w:t>p-value</w:t>
            </w:r>
          </w:p>
        </w:tc>
        <w:tc>
          <w:tcPr>
            <w:tcW w:w="1080" w:type="dxa"/>
            <w:tcBorders>
              <w:top w:val="single" w:sz="4" w:space="0" w:color="000000"/>
              <w:bottom w:val="single" w:sz="4" w:space="0" w:color="000000"/>
            </w:tcBorders>
          </w:tcPr>
          <w:p w14:paraId="79CAFD4D" w14:textId="77777777" w:rsidR="0021652D" w:rsidRPr="00B415E3" w:rsidRDefault="001B2301">
            <w:pPr>
              <w:spacing w:before="0"/>
              <w:jc w:val="right"/>
            </w:pPr>
            <w:r w:rsidRPr="00B415E3">
              <w:t>VIF</w:t>
            </w:r>
          </w:p>
        </w:tc>
        <w:tc>
          <w:tcPr>
            <w:tcW w:w="2791" w:type="dxa"/>
            <w:tcBorders>
              <w:top w:val="single" w:sz="4" w:space="0" w:color="000000"/>
              <w:bottom w:val="single" w:sz="4" w:space="0" w:color="000000"/>
            </w:tcBorders>
          </w:tcPr>
          <w:p w14:paraId="7B646F6D" w14:textId="77777777" w:rsidR="0021652D" w:rsidRPr="00B415E3" w:rsidRDefault="0021652D">
            <w:pPr>
              <w:spacing w:before="0"/>
              <w:jc w:val="center"/>
            </w:pPr>
          </w:p>
        </w:tc>
      </w:tr>
      <w:tr w:rsidR="00B415E3" w:rsidRPr="00B415E3" w14:paraId="4B0C96C8" w14:textId="77777777">
        <w:trPr>
          <w:trHeight w:val="300"/>
        </w:trPr>
        <w:tc>
          <w:tcPr>
            <w:tcW w:w="786" w:type="dxa"/>
            <w:tcBorders>
              <w:top w:val="single" w:sz="4" w:space="0" w:color="000000"/>
            </w:tcBorders>
          </w:tcPr>
          <w:p w14:paraId="2690659F" w14:textId="77777777" w:rsidR="0021652D" w:rsidRPr="00B415E3" w:rsidRDefault="001B2301">
            <w:pPr>
              <w:spacing w:before="0"/>
              <w:jc w:val="left"/>
            </w:pPr>
            <w:r w:rsidRPr="00B415E3">
              <w:t>H1a</w:t>
            </w:r>
          </w:p>
        </w:tc>
        <w:tc>
          <w:tcPr>
            <w:tcW w:w="1374" w:type="dxa"/>
            <w:tcBorders>
              <w:top w:val="single" w:sz="4" w:space="0" w:color="000000"/>
            </w:tcBorders>
            <w:shd w:val="clear" w:color="auto" w:fill="auto"/>
            <w:vAlign w:val="center"/>
          </w:tcPr>
          <w:p w14:paraId="0C97431B" w14:textId="77777777" w:rsidR="0021652D" w:rsidRPr="00B415E3" w:rsidRDefault="000634DF">
            <w:pPr>
              <w:spacing w:before="0"/>
              <w:jc w:val="left"/>
            </w:pPr>
            <w:sdt>
              <w:sdtPr>
                <w:tag w:val="goog_rdk_0"/>
                <w:id w:val="-803926807"/>
              </w:sdtPr>
              <w:sdtEndPr/>
              <w:sdtContent>
                <w:r w:rsidR="001B2301" w:rsidRPr="00B415E3">
                  <w:rPr>
                    <w:rFonts w:ascii="Cardo" w:eastAsia="Cardo" w:hAnsi="Cardo" w:cs="Cardo"/>
                  </w:rPr>
                  <w:t>UI→SE</w:t>
                </w:r>
              </w:sdtContent>
            </w:sdt>
          </w:p>
        </w:tc>
        <w:tc>
          <w:tcPr>
            <w:tcW w:w="1769" w:type="dxa"/>
            <w:tcBorders>
              <w:top w:val="single" w:sz="4" w:space="0" w:color="000000"/>
            </w:tcBorders>
            <w:shd w:val="clear" w:color="auto" w:fill="auto"/>
            <w:vAlign w:val="center"/>
          </w:tcPr>
          <w:p w14:paraId="21F61B15" w14:textId="77777777" w:rsidR="0021652D" w:rsidRPr="00B415E3" w:rsidRDefault="001B2301">
            <w:pPr>
              <w:spacing w:before="0"/>
              <w:jc w:val="right"/>
            </w:pPr>
            <w:r w:rsidRPr="00B415E3">
              <w:t>0.25***</w:t>
            </w:r>
          </w:p>
        </w:tc>
        <w:tc>
          <w:tcPr>
            <w:tcW w:w="1290" w:type="dxa"/>
            <w:tcBorders>
              <w:top w:val="single" w:sz="4" w:space="0" w:color="000000"/>
            </w:tcBorders>
            <w:shd w:val="clear" w:color="auto" w:fill="auto"/>
            <w:vAlign w:val="center"/>
          </w:tcPr>
          <w:p w14:paraId="7979B7E9" w14:textId="77777777" w:rsidR="0021652D" w:rsidRPr="00B415E3" w:rsidRDefault="001B2301">
            <w:pPr>
              <w:spacing w:before="0"/>
              <w:jc w:val="right"/>
            </w:pPr>
            <w:r w:rsidRPr="00B415E3">
              <w:t>0.00</w:t>
            </w:r>
          </w:p>
        </w:tc>
        <w:tc>
          <w:tcPr>
            <w:tcW w:w="1080" w:type="dxa"/>
            <w:tcBorders>
              <w:top w:val="single" w:sz="4" w:space="0" w:color="000000"/>
            </w:tcBorders>
          </w:tcPr>
          <w:p w14:paraId="4D916A31" w14:textId="77777777" w:rsidR="0021652D" w:rsidRPr="00B415E3" w:rsidRDefault="001B2301">
            <w:pPr>
              <w:spacing w:before="0"/>
              <w:jc w:val="right"/>
            </w:pPr>
            <w:r w:rsidRPr="00B415E3">
              <w:t>1.81</w:t>
            </w:r>
          </w:p>
        </w:tc>
        <w:tc>
          <w:tcPr>
            <w:tcW w:w="2791" w:type="dxa"/>
            <w:tcBorders>
              <w:top w:val="single" w:sz="4" w:space="0" w:color="000000"/>
            </w:tcBorders>
          </w:tcPr>
          <w:p w14:paraId="5EA3C014" w14:textId="77777777" w:rsidR="0021652D" w:rsidRPr="00B415E3" w:rsidRDefault="001B2301">
            <w:pPr>
              <w:spacing w:before="0"/>
              <w:jc w:val="center"/>
            </w:pPr>
            <w:r w:rsidRPr="00B415E3">
              <w:t>Supported</w:t>
            </w:r>
          </w:p>
        </w:tc>
      </w:tr>
      <w:tr w:rsidR="00B415E3" w:rsidRPr="00B415E3" w14:paraId="321E7135" w14:textId="77777777">
        <w:trPr>
          <w:trHeight w:val="300"/>
        </w:trPr>
        <w:tc>
          <w:tcPr>
            <w:tcW w:w="786" w:type="dxa"/>
          </w:tcPr>
          <w:p w14:paraId="3D01567D" w14:textId="77777777" w:rsidR="0021652D" w:rsidRPr="00B415E3" w:rsidRDefault="001B2301">
            <w:pPr>
              <w:spacing w:before="0"/>
              <w:jc w:val="left"/>
            </w:pPr>
            <w:r w:rsidRPr="00B415E3">
              <w:t>H1b</w:t>
            </w:r>
          </w:p>
        </w:tc>
        <w:tc>
          <w:tcPr>
            <w:tcW w:w="1374" w:type="dxa"/>
            <w:shd w:val="clear" w:color="auto" w:fill="auto"/>
            <w:vAlign w:val="center"/>
          </w:tcPr>
          <w:p w14:paraId="775FDF76" w14:textId="77777777" w:rsidR="0021652D" w:rsidRPr="00B415E3" w:rsidRDefault="000634DF">
            <w:pPr>
              <w:spacing w:before="0"/>
              <w:jc w:val="left"/>
            </w:pPr>
            <w:sdt>
              <w:sdtPr>
                <w:tag w:val="goog_rdk_1"/>
                <w:id w:val="-1841923466"/>
              </w:sdtPr>
              <w:sdtEndPr/>
              <w:sdtContent>
                <w:r w:rsidR="001B2301" w:rsidRPr="00B415E3">
                  <w:rPr>
                    <w:rFonts w:ascii="Cardo" w:eastAsia="Cardo" w:hAnsi="Cardo" w:cs="Cardo"/>
                  </w:rPr>
                  <w:t>UI→PE</w:t>
                </w:r>
              </w:sdtContent>
            </w:sdt>
          </w:p>
        </w:tc>
        <w:tc>
          <w:tcPr>
            <w:tcW w:w="1769" w:type="dxa"/>
            <w:shd w:val="clear" w:color="auto" w:fill="auto"/>
            <w:vAlign w:val="center"/>
          </w:tcPr>
          <w:p w14:paraId="340C9AD8" w14:textId="77777777" w:rsidR="0021652D" w:rsidRPr="00B415E3" w:rsidRDefault="001B2301">
            <w:pPr>
              <w:spacing w:before="0"/>
              <w:jc w:val="right"/>
            </w:pPr>
            <w:r w:rsidRPr="00B415E3">
              <w:t>0.41***</w:t>
            </w:r>
          </w:p>
        </w:tc>
        <w:tc>
          <w:tcPr>
            <w:tcW w:w="1290" w:type="dxa"/>
            <w:shd w:val="clear" w:color="auto" w:fill="auto"/>
            <w:vAlign w:val="center"/>
          </w:tcPr>
          <w:p w14:paraId="629D1660" w14:textId="77777777" w:rsidR="0021652D" w:rsidRPr="00B415E3" w:rsidRDefault="001B2301">
            <w:pPr>
              <w:spacing w:before="0"/>
              <w:jc w:val="right"/>
            </w:pPr>
            <w:r w:rsidRPr="00B415E3">
              <w:t>0.00</w:t>
            </w:r>
          </w:p>
        </w:tc>
        <w:tc>
          <w:tcPr>
            <w:tcW w:w="1080" w:type="dxa"/>
          </w:tcPr>
          <w:p w14:paraId="3F704CC6" w14:textId="77777777" w:rsidR="0021652D" w:rsidRPr="00B415E3" w:rsidRDefault="001B2301">
            <w:pPr>
              <w:spacing w:before="0"/>
              <w:jc w:val="right"/>
            </w:pPr>
            <w:r w:rsidRPr="00B415E3">
              <w:t>1.95</w:t>
            </w:r>
          </w:p>
        </w:tc>
        <w:tc>
          <w:tcPr>
            <w:tcW w:w="2791" w:type="dxa"/>
          </w:tcPr>
          <w:p w14:paraId="523E10FC" w14:textId="77777777" w:rsidR="0021652D" w:rsidRPr="00B415E3" w:rsidRDefault="001B2301">
            <w:pPr>
              <w:spacing w:before="0"/>
              <w:jc w:val="center"/>
            </w:pPr>
            <w:r w:rsidRPr="00B415E3">
              <w:t>Supported</w:t>
            </w:r>
          </w:p>
        </w:tc>
      </w:tr>
      <w:tr w:rsidR="00B415E3" w:rsidRPr="00B415E3" w14:paraId="5AD0269B" w14:textId="77777777">
        <w:trPr>
          <w:trHeight w:val="300"/>
        </w:trPr>
        <w:tc>
          <w:tcPr>
            <w:tcW w:w="786" w:type="dxa"/>
          </w:tcPr>
          <w:p w14:paraId="54E9DA0A" w14:textId="77777777" w:rsidR="0021652D" w:rsidRPr="00B415E3" w:rsidRDefault="001B2301">
            <w:pPr>
              <w:spacing w:before="0"/>
              <w:jc w:val="left"/>
            </w:pPr>
            <w:r w:rsidRPr="00B415E3">
              <w:t>H2a</w:t>
            </w:r>
          </w:p>
        </w:tc>
        <w:tc>
          <w:tcPr>
            <w:tcW w:w="1374" w:type="dxa"/>
            <w:shd w:val="clear" w:color="auto" w:fill="auto"/>
            <w:vAlign w:val="center"/>
          </w:tcPr>
          <w:p w14:paraId="2A5E9F08" w14:textId="77777777" w:rsidR="0021652D" w:rsidRPr="00B415E3" w:rsidRDefault="000634DF">
            <w:pPr>
              <w:spacing w:before="0"/>
              <w:jc w:val="left"/>
            </w:pPr>
            <w:sdt>
              <w:sdtPr>
                <w:tag w:val="goog_rdk_2"/>
                <w:id w:val="1448891147"/>
              </w:sdtPr>
              <w:sdtEndPr/>
              <w:sdtContent>
                <w:r w:rsidR="001B2301" w:rsidRPr="00B415E3">
                  <w:rPr>
                    <w:rFonts w:ascii="Cardo" w:eastAsia="Cardo" w:hAnsi="Cardo" w:cs="Cardo"/>
                  </w:rPr>
                  <w:t>UC→SE</w:t>
                </w:r>
              </w:sdtContent>
            </w:sdt>
          </w:p>
        </w:tc>
        <w:tc>
          <w:tcPr>
            <w:tcW w:w="1769" w:type="dxa"/>
            <w:shd w:val="clear" w:color="auto" w:fill="auto"/>
            <w:vAlign w:val="center"/>
          </w:tcPr>
          <w:p w14:paraId="0B07B0E1" w14:textId="77777777" w:rsidR="0021652D" w:rsidRPr="00B415E3" w:rsidRDefault="001B2301">
            <w:pPr>
              <w:spacing w:before="0"/>
              <w:jc w:val="right"/>
            </w:pPr>
            <w:r w:rsidRPr="00B415E3">
              <w:t>-0.28***</w:t>
            </w:r>
          </w:p>
        </w:tc>
        <w:tc>
          <w:tcPr>
            <w:tcW w:w="1290" w:type="dxa"/>
            <w:shd w:val="clear" w:color="auto" w:fill="auto"/>
            <w:vAlign w:val="center"/>
          </w:tcPr>
          <w:p w14:paraId="41195957" w14:textId="77777777" w:rsidR="0021652D" w:rsidRPr="00B415E3" w:rsidRDefault="001B2301">
            <w:pPr>
              <w:spacing w:before="0"/>
              <w:jc w:val="right"/>
            </w:pPr>
            <w:r w:rsidRPr="00B415E3">
              <w:t>0.00</w:t>
            </w:r>
          </w:p>
        </w:tc>
        <w:tc>
          <w:tcPr>
            <w:tcW w:w="1080" w:type="dxa"/>
          </w:tcPr>
          <w:p w14:paraId="048541E4" w14:textId="77777777" w:rsidR="0021652D" w:rsidRPr="00B415E3" w:rsidRDefault="001B2301">
            <w:pPr>
              <w:spacing w:before="0"/>
              <w:jc w:val="right"/>
            </w:pPr>
            <w:r w:rsidRPr="00B415E3">
              <w:t>1.29</w:t>
            </w:r>
          </w:p>
        </w:tc>
        <w:tc>
          <w:tcPr>
            <w:tcW w:w="2791" w:type="dxa"/>
          </w:tcPr>
          <w:p w14:paraId="073D6ECB" w14:textId="77777777" w:rsidR="0021652D" w:rsidRPr="00B415E3" w:rsidRDefault="001B2301">
            <w:pPr>
              <w:spacing w:before="0"/>
              <w:jc w:val="center"/>
            </w:pPr>
            <w:r w:rsidRPr="00B415E3">
              <w:t>Supported</w:t>
            </w:r>
          </w:p>
        </w:tc>
      </w:tr>
      <w:tr w:rsidR="00B415E3" w:rsidRPr="00B415E3" w14:paraId="4DE40F9C" w14:textId="77777777">
        <w:trPr>
          <w:trHeight w:val="300"/>
        </w:trPr>
        <w:tc>
          <w:tcPr>
            <w:tcW w:w="786" w:type="dxa"/>
          </w:tcPr>
          <w:p w14:paraId="7E65DF5F" w14:textId="77777777" w:rsidR="0021652D" w:rsidRPr="00B415E3" w:rsidRDefault="001B2301">
            <w:pPr>
              <w:spacing w:before="0"/>
              <w:jc w:val="left"/>
            </w:pPr>
            <w:r w:rsidRPr="00B415E3">
              <w:t>H2b</w:t>
            </w:r>
          </w:p>
        </w:tc>
        <w:tc>
          <w:tcPr>
            <w:tcW w:w="1374" w:type="dxa"/>
            <w:shd w:val="clear" w:color="auto" w:fill="auto"/>
            <w:vAlign w:val="center"/>
          </w:tcPr>
          <w:p w14:paraId="25374243" w14:textId="77777777" w:rsidR="0021652D" w:rsidRPr="00B415E3" w:rsidRDefault="000634DF">
            <w:pPr>
              <w:spacing w:before="0"/>
              <w:jc w:val="left"/>
            </w:pPr>
            <w:sdt>
              <w:sdtPr>
                <w:tag w:val="goog_rdk_3"/>
                <w:id w:val="797957157"/>
              </w:sdtPr>
              <w:sdtEndPr/>
              <w:sdtContent>
                <w:r w:rsidR="001B2301" w:rsidRPr="00B415E3">
                  <w:rPr>
                    <w:rFonts w:ascii="Cardo" w:eastAsia="Cardo" w:hAnsi="Cardo" w:cs="Cardo"/>
                  </w:rPr>
                  <w:t>UC→PE</w:t>
                </w:r>
              </w:sdtContent>
            </w:sdt>
          </w:p>
        </w:tc>
        <w:tc>
          <w:tcPr>
            <w:tcW w:w="1769" w:type="dxa"/>
            <w:shd w:val="clear" w:color="auto" w:fill="auto"/>
            <w:vAlign w:val="center"/>
          </w:tcPr>
          <w:p w14:paraId="53F5DCD4" w14:textId="77777777" w:rsidR="0021652D" w:rsidRPr="00B415E3" w:rsidRDefault="001B2301">
            <w:pPr>
              <w:spacing w:before="0"/>
              <w:jc w:val="right"/>
            </w:pPr>
            <w:r w:rsidRPr="00B415E3">
              <w:t>-0.00</w:t>
            </w:r>
          </w:p>
        </w:tc>
        <w:tc>
          <w:tcPr>
            <w:tcW w:w="1290" w:type="dxa"/>
            <w:shd w:val="clear" w:color="auto" w:fill="auto"/>
            <w:vAlign w:val="center"/>
          </w:tcPr>
          <w:p w14:paraId="1A259EB7" w14:textId="77777777" w:rsidR="0021652D" w:rsidRPr="00B415E3" w:rsidRDefault="001B2301">
            <w:pPr>
              <w:spacing w:before="0"/>
              <w:jc w:val="right"/>
            </w:pPr>
            <w:r w:rsidRPr="00B415E3">
              <w:t>0.97</w:t>
            </w:r>
          </w:p>
        </w:tc>
        <w:tc>
          <w:tcPr>
            <w:tcW w:w="1080" w:type="dxa"/>
          </w:tcPr>
          <w:p w14:paraId="304682F6" w14:textId="77777777" w:rsidR="0021652D" w:rsidRPr="00B415E3" w:rsidRDefault="001B2301">
            <w:pPr>
              <w:spacing w:before="0"/>
              <w:jc w:val="right"/>
            </w:pPr>
            <w:r w:rsidRPr="00B415E3">
              <w:t>1.47</w:t>
            </w:r>
          </w:p>
        </w:tc>
        <w:tc>
          <w:tcPr>
            <w:tcW w:w="2791" w:type="dxa"/>
          </w:tcPr>
          <w:p w14:paraId="1C1ADEDA" w14:textId="77777777" w:rsidR="0021652D" w:rsidRPr="00B415E3" w:rsidRDefault="001B2301">
            <w:pPr>
              <w:spacing w:before="0"/>
              <w:jc w:val="center"/>
            </w:pPr>
            <w:r w:rsidRPr="00B415E3">
              <w:t>Not supported</w:t>
            </w:r>
          </w:p>
        </w:tc>
      </w:tr>
      <w:tr w:rsidR="00B415E3" w:rsidRPr="00B415E3" w14:paraId="4C06424A" w14:textId="77777777">
        <w:trPr>
          <w:trHeight w:val="300"/>
        </w:trPr>
        <w:tc>
          <w:tcPr>
            <w:tcW w:w="786" w:type="dxa"/>
          </w:tcPr>
          <w:p w14:paraId="4137B946" w14:textId="77777777" w:rsidR="0021652D" w:rsidRPr="00B415E3" w:rsidRDefault="001B2301">
            <w:pPr>
              <w:spacing w:before="0"/>
              <w:jc w:val="left"/>
            </w:pPr>
            <w:r w:rsidRPr="00B415E3">
              <w:lastRenderedPageBreak/>
              <w:t>H3a</w:t>
            </w:r>
          </w:p>
        </w:tc>
        <w:tc>
          <w:tcPr>
            <w:tcW w:w="1374" w:type="dxa"/>
            <w:shd w:val="clear" w:color="auto" w:fill="auto"/>
            <w:vAlign w:val="center"/>
          </w:tcPr>
          <w:p w14:paraId="11CB97F6" w14:textId="77777777" w:rsidR="0021652D" w:rsidRPr="00B415E3" w:rsidRDefault="000634DF">
            <w:pPr>
              <w:spacing w:before="0"/>
              <w:jc w:val="left"/>
            </w:pPr>
            <w:sdt>
              <w:sdtPr>
                <w:tag w:val="goog_rdk_4"/>
                <w:id w:val="-239172785"/>
              </w:sdtPr>
              <w:sdtEndPr/>
              <w:sdtContent>
                <w:r w:rsidR="001B2301" w:rsidRPr="00B415E3">
                  <w:rPr>
                    <w:rFonts w:ascii="Cardo" w:eastAsia="Cardo" w:hAnsi="Cardo" w:cs="Cardo"/>
                  </w:rPr>
                  <w:t>DI→SE</w:t>
                </w:r>
              </w:sdtContent>
            </w:sdt>
          </w:p>
        </w:tc>
        <w:tc>
          <w:tcPr>
            <w:tcW w:w="1769" w:type="dxa"/>
            <w:shd w:val="clear" w:color="auto" w:fill="auto"/>
            <w:vAlign w:val="center"/>
          </w:tcPr>
          <w:p w14:paraId="4A917090" w14:textId="77777777" w:rsidR="0021652D" w:rsidRPr="00B415E3" w:rsidRDefault="001B2301">
            <w:pPr>
              <w:spacing w:before="0"/>
              <w:jc w:val="right"/>
            </w:pPr>
            <w:r w:rsidRPr="00B415E3">
              <w:t>-0.04</w:t>
            </w:r>
          </w:p>
        </w:tc>
        <w:tc>
          <w:tcPr>
            <w:tcW w:w="1290" w:type="dxa"/>
            <w:shd w:val="clear" w:color="auto" w:fill="auto"/>
            <w:vAlign w:val="center"/>
          </w:tcPr>
          <w:p w14:paraId="489826FE" w14:textId="77777777" w:rsidR="0021652D" w:rsidRPr="00B415E3" w:rsidRDefault="001B2301">
            <w:pPr>
              <w:spacing w:before="0"/>
              <w:jc w:val="right"/>
            </w:pPr>
            <w:r w:rsidRPr="00B415E3">
              <w:t>0.49</w:t>
            </w:r>
          </w:p>
        </w:tc>
        <w:tc>
          <w:tcPr>
            <w:tcW w:w="1080" w:type="dxa"/>
          </w:tcPr>
          <w:p w14:paraId="101CC095" w14:textId="77777777" w:rsidR="0021652D" w:rsidRPr="00B415E3" w:rsidRDefault="001B2301">
            <w:pPr>
              <w:spacing w:before="0"/>
              <w:jc w:val="right"/>
            </w:pPr>
            <w:r w:rsidRPr="00B415E3">
              <w:t>1.39</w:t>
            </w:r>
          </w:p>
        </w:tc>
        <w:tc>
          <w:tcPr>
            <w:tcW w:w="2791" w:type="dxa"/>
          </w:tcPr>
          <w:p w14:paraId="3A14D398" w14:textId="77777777" w:rsidR="0021652D" w:rsidRPr="00B415E3" w:rsidRDefault="001B2301">
            <w:pPr>
              <w:spacing w:before="0"/>
              <w:jc w:val="center"/>
            </w:pPr>
            <w:r w:rsidRPr="00B415E3">
              <w:t>Not supported</w:t>
            </w:r>
          </w:p>
        </w:tc>
      </w:tr>
      <w:tr w:rsidR="00B415E3" w:rsidRPr="00B415E3" w14:paraId="6179B48E" w14:textId="77777777">
        <w:trPr>
          <w:trHeight w:val="300"/>
        </w:trPr>
        <w:tc>
          <w:tcPr>
            <w:tcW w:w="786" w:type="dxa"/>
          </w:tcPr>
          <w:p w14:paraId="2729E315" w14:textId="77777777" w:rsidR="0021652D" w:rsidRPr="00B415E3" w:rsidRDefault="001B2301">
            <w:pPr>
              <w:spacing w:before="0"/>
              <w:jc w:val="left"/>
            </w:pPr>
            <w:r w:rsidRPr="00B415E3">
              <w:t>H3b</w:t>
            </w:r>
          </w:p>
        </w:tc>
        <w:tc>
          <w:tcPr>
            <w:tcW w:w="1374" w:type="dxa"/>
            <w:shd w:val="clear" w:color="auto" w:fill="auto"/>
            <w:vAlign w:val="center"/>
          </w:tcPr>
          <w:p w14:paraId="0CF95A13" w14:textId="77777777" w:rsidR="0021652D" w:rsidRPr="00B415E3" w:rsidRDefault="000634DF">
            <w:pPr>
              <w:spacing w:before="0"/>
              <w:jc w:val="left"/>
            </w:pPr>
            <w:sdt>
              <w:sdtPr>
                <w:tag w:val="goog_rdk_5"/>
                <w:id w:val="-986014959"/>
              </w:sdtPr>
              <w:sdtEndPr/>
              <w:sdtContent>
                <w:r w:rsidR="001B2301" w:rsidRPr="00B415E3">
                  <w:rPr>
                    <w:rFonts w:ascii="Cardo" w:eastAsia="Cardo" w:hAnsi="Cardo" w:cs="Cardo"/>
                  </w:rPr>
                  <w:t>DI→PE</w:t>
                </w:r>
              </w:sdtContent>
            </w:sdt>
          </w:p>
        </w:tc>
        <w:tc>
          <w:tcPr>
            <w:tcW w:w="1769" w:type="dxa"/>
            <w:shd w:val="clear" w:color="auto" w:fill="auto"/>
            <w:vAlign w:val="center"/>
          </w:tcPr>
          <w:p w14:paraId="55013C47" w14:textId="77777777" w:rsidR="0021652D" w:rsidRPr="00B415E3" w:rsidRDefault="001B2301">
            <w:pPr>
              <w:spacing w:before="0"/>
              <w:jc w:val="right"/>
            </w:pPr>
            <w:r w:rsidRPr="00B415E3">
              <w:t>-0.23***</w:t>
            </w:r>
          </w:p>
        </w:tc>
        <w:tc>
          <w:tcPr>
            <w:tcW w:w="1290" w:type="dxa"/>
            <w:shd w:val="clear" w:color="auto" w:fill="auto"/>
            <w:vAlign w:val="center"/>
          </w:tcPr>
          <w:p w14:paraId="2B726488" w14:textId="77777777" w:rsidR="0021652D" w:rsidRPr="00B415E3" w:rsidRDefault="001B2301">
            <w:pPr>
              <w:spacing w:before="0"/>
              <w:jc w:val="right"/>
            </w:pPr>
            <w:r w:rsidRPr="00B415E3">
              <w:t>0.00</w:t>
            </w:r>
          </w:p>
        </w:tc>
        <w:tc>
          <w:tcPr>
            <w:tcW w:w="1080" w:type="dxa"/>
          </w:tcPr>
          <w:p w14:paraId="5E878F18" w14:textId="77777777" w:rsidR="0021652D" w:rsidRPr="00B415E3" w:rsidRDefault="001B2301">
            <w:pPr>
              <w:spacing w:before="0"/>
              <w:jc w:val="right"/>
            </w:pPr>
            <w:r w:rsidRPr="00B415E3">
              <w:t>1.40</w:t>
            </w:r>
          </w:p>
        </w:tc>
        <w:tc>
          <w:tcPr>
            <w:tcW w:w="2791" w:type="dxa"/>
          </w:tcPr>
          <w:p w14:paraId="118975D2" w14:textId="77777777" w:rsidR="0021652D" w:rsidRPr="00B415E3" w:rsidRDefault="001B2301">
            <w:pPr>
              <w:spacing w:before="0"/>
              <w:jc w:val="center"/>
            </w:pPr>
            <w:r w:rsidRPr="00B415E3">
              <w:t>Supported</w:t>
            </w:r>
          </w:p>
        </w:tc>
      </w:tr>
      <w:tr w:rsidR="00B415E3" w:rsidRPr="00B415E3" w14:paraId="299A157D" w14:textId="77777777">
        <w:trPr>
          <w:trHeight w:val="300"/>
        </w:trPr>
        <w:tc>
          <w:tcPr>
            <w:tcW w:w="786" w:type="dxa"/>
          </w:tcPr>
          <w:p w14:paraId="15109F6E" w14:textId="77777777" w:rsidR="0021652D" w:rsidRPr="00B415E3" w:rsidRDefault="001B2301">
            <w:pPr>
              <w:spacing w:before="0"/>
              <w:jc w:val="left"/>
            </w:pPr>
            <w:r w:rsidRPr="00B415E3">
              <w:t>H4a</w:t>
            </w:r>
          </w:p>
        </w:tc>
        <w:tc>
          <w:tcPr>
            <w:tcW w:w="1374" w:type="dxa"/>
            <w:shd w:val="clear" w:color="auto" w:fill="auto"/>
            <w:vAlign w:val="center"/>
          </w:tcPr>
          <w:p w14:paraId="39C0EB65" w14:textId="77777777" w:rsidR="0021652D" w:rsidRPr="00B415E3" w:rsidRDefault="000634DF">
            <w:pPr>
              <w:spacing w:before="0"/>
              <w:jc w:val="left"/>
            </w:pPr>
            <w:sdt>
              <w:sdtPr>
                <w:tag w:val="goog_rdk_6"/>
                <w:id w:val="1135375823"/>
              </w:sdtPr>
              <w:sdtEndPr/>
              <w:sdtContent>
                <w:r w:rsidR="001B2301" w:rsidRPr="00B415E3">
                  <w:rPr>
                    <w:rFonts w:ascii="Cardo" w:eastAsia="Cardo" w:hAnsi="Cardo" w:cs="Cardo"/>
                  </w:rPr>
                  <w:t>DC→SE</w:t>
                </w:r>
              </w:sdtContent>
            </w:sdt>
          </w:p>
        </w:tc>
        <w:tc>
          <w:tcPr>
            <w:tcW w:w="1769" w:type="dxa"/>
            <w:shd w:val="clear" w:color="auto" w:fill="auto"/>
            <w:vAlign w:val="center"/>
          </w:tcPr>
          <w:p w14:paraId="39135084" w14:textId="77777777" w:rsidR="0021652D" w:rsidRPr="00B415E3" w:rsidRDefault="001B2301">
            <w:pPr>
              <w:spacing w:before="0"/>
              <w:jc w:val="right"/>
            </w:pPr>
            <w:r w:rsidRPr="00B415E3">
              <w:t>0.36***</w:t>
            </w:r>
          </w:p>
        </w:tc>
        <w:tc>
          <w:tcPr>
            <w:tcW w:w="1290" w:type="dxa"/>
            <w:shd w:val="clear" w:color="auto" w:fill="auto"/>
            <w:vAlign w:val="center"/>
          </w:tcPr>
          <w:p w14:paraId="3504B517" w14:textId="77777777" w:rsidR="0021652D" w:rsidRPr="00B415E3" w:rsidRDefault="001B2301">
            <w:pPr>
              <w:spacing w:before="0"/>
              <w:jc w:val="right"/>
            </w:pPr>
            <w:r w:rsidRPr="00B415E3">
              <w:t>0.00</w:t>
            </w:r>
          </w:p>
        </w:tc>
        <w:tc>
          <w:tcPr>
            <w:tcW w:w="1080" w:type="dxa"/>
          </w:tcPr>
          <w:p w14:paraId="10A404BB" w14:textId="77777777" w:rsidR="0021652D" w:rsidRPr="00B415E3" w:rsidRDefault="001B2301">
            <w:pPr>
              <w:spacing w:before="0"/>
              <w:jc w:val="right"/>
            </w:pPr>
            <w:r w:rsidRPr="00B415E3">
              <w:t>1.79</w:t>
            </w:r>
          </w:p>
        </w:tc>
        <w:tc>
          <w:tcPr>
            <w:tcW w:w="2791" w:type="dxa"/>
          </w:tcPr>
          <w:p w14:paraId="7F563772" w14:textId="77777777" w:rsidR="0021652D" w:rsidRPr="00B415E3" w:rsidRDefault="001B2301">
            <w:pPr>
              <w:spacing w:before="0"/>
              <w:jc w:val="center"/>
            </w:pPr>
            <w:r w:rsidRPr="00B415E3">
              <w:t>Supported</w:t>
            </w:r>
          </w:p>
        </w:tc>
      </w:tr>
      <w:tr w:rsidR="00B415E3" w:rsidRPr="00B415E3" w14:paraId="7AB2143C" w14:textId="77777777">
        <w:trPr>
          <w:trHeight w:val="300"/>
        </w:trPr>
        <w:tc>
          <w:tcPr>
            <w:tcW w:w="786" w:type="dxa"/>
          </w:tcPr>
          <w:p w14:paraId="173726AB" w14:textId="77777777" w:rsidR="0021652D" w:rsidRPr="00B415E3" w:rsidRDefault="001B2301">
            <w:pPr>
              <w:spacing w:before="0"/>
              <w:jc w:val="left"/>
            </w:pPr>
            <w:r w:rsidRPr="00B415E3">
              <w:t>H4b</w:t>
            </w:r>
          </w:p>
        </w:tc>
        <w:tc>
          <w:tcPr>
            <w:tcW w:w="1374" w:type="dxa"/>
            <w:shd w:val="clear" w:color="auto" w:fill="auto"/>
            <w:vAlign w:val="center"/>
          </w:tcPr>
          <w:p w14:paraId="39D321D3" w14:textId="77777777" w:rsidR="0021652D" w:rsidRPr="00B415E3" w:rsidRDefault="000634DF">
            <w:pPr>
              <w:spacing w:before="0"/>
              <w:jc w:val="left"/>
            </w:pPr>
            <w:sdt>
              <w:sdtPr>
                <w:tag w:val="goog_rdk_7"/>
                <w:id w:val="-414786612"/>
              </w:sdtPr>
              <w:sdtEndPr/>
              <w:sdtContent>
                <w:r w:rsidR="001B2301" w:rsidRPr="00B415E3">
                  <w:rPr>
                    <w:rFonts w:ascii="Cardo" w:eastAsia="Cardo" w:hAnsi="Cardo" w:cs="Cardo"/>
                  </w:rPr>
                  <w:t>DC→PE</w:t>
                </w:r>
              </w:sdtContent>
            </w:sdt>
          </w:p>
        </w:tc>
        <w:tc>
          <w:tcPr>
            <w:tcW w:w="1769" w:type="dxa"/>
            <w:shd w:val="clear" w:color="auto" w:fill="auto"/>
            <w:vAlign w:val="center"/>
          </w:tcPr>
          <w:p w14:paraId="73C55BDD" w14:textId="77777777" w:rsidR="0021652D" w:rsidRPr="00B415E3" w:rsidRDefault="001B2301">
            <w:pPr>
              <w:spacing w:before="0"/>
              <w:jc w:val="right"/>
            </w:pPr>
            <w:r w:rsidRPr="00B415E3">
              <w:t>0.24***</w:t>
            </w:r>
          </w:p>
        </w:tc>
        <w:tc>
          <w:tcPr>
            <w:tcW w:w="1290" w:type="dxa"/>
            <w:shd w:val="clear" w:color="auto" w:fill="auto"/>
            <w:vAlign w:val="center"/>
          </w:tcPr>
          <w:p w14:paraId="756220AC" w14:textId="77777777" w:rsidR="0021652D" w:rsidRPr="00B415E3" w:rsidRDefault="001B2301">
            <w:pPr>
              <w:spacing w:before="0"/>
              <w:jc w:val="right"/>
            </w:pPr>
            <w:r w:rsidRPr="00B415E3">
              <w:t>0.00</w:t>
            </w:r>
          </w:p>
        </w:tc>
        <w:tc>
          <w:tcPr>
            <w:tcW w:w="1080" w:type="dxa"/>
          </w:tcPr>
          <w:p w14:paraId="508C5C32" w14:textId="77777777" w:rsidR="0021652D" w:rsidRPr="00B415E3" w:rsidRDefault="001B2301">
            <w:pPr>
              <w:spacing w:before="0"/>
              <w:jc w:val="right"/>
            </w:pPr>
            <w:r w:rsidRPr="00B415E3">
              <w:t>2.08</w:t>
            </w:r>
          </w:p>
        </w:tc>
        <w:tc>
          <w:tcPr>
            <w:tcW w:w="2791" w:type="dxa"/>
          </w:tcPr>
          <w:p w14:paraId="33B9D1CA" w14:textId="77777777" w:rsidR="0021652D" w:rsidRPr="00B415E3" w:rsidRDefault="001B2301">
            <w:pPr>
              <w:spacing w:before="0"/>
              <w:jc w:val="center"/>
            </w:pPr>
            <w:r w:rsidRPr="00B415E3">
              <w:t>Supported</w:t>
            </w:r>
          </w:p>
        </w:tc>
      </w:tr>
      <w:tr w:rsidR="00B415E3" w:rsidRPr="00B415E3" w14:paraId="300AB8A7" w14:textId="77777777">
        <w:trPr>
          <w:trHeight w:val="300"/>
        </w:trPr>
        <w:tc>
          <w:tcPr>
            <w:tcW w:w="786" w:type="dxa"/>
          </w:tcPr>
          <w:p w14:paraId="1CBF4A8B" w14:textId="77777777" w:rsidR="0021652D" w:rsidRPr="00B415E3" w:rsidRDefault="001B2301">
            <w:pPr>
              <w:spacing w:before="0"/>
              <w:jc w:val="left"/>
            </w:pPr>
            <w:r w:rsidRPr="00B415E3">
              <w:t>H5a</w:t>
            </w:r>
          </w:p>
        </w:tc>
        <w:tc>
          <w:tcPr>
            <w:tcW w:w="1374" w:type="dxa"/>
            <w:shd w:val="clear" w:color="auto" w:fill="auto"/>
            <w:vAlign w:val="center"/>
          </w:tcPr>
          <w:p w14:paraId="719B7D00" w14:textId="77777777" w:rsidR="0021652D" w:rsidRPr="00B415E3" w:rsidRDefault="000634DF">
            <w:pPr>
              <w:spacing w:before="0"/>
              <w:jc w:val="left"/>
            </w:pPr>
            <w:sdt>
              <w:sdtPr>
                <w:tag w:val="goog_rdk_8"/>
                <w:id w:val="-1676796795"/>
              </w:sdtPr>
              <w:sdtEndPr/>
              <w:sdtContent>
                <w:r w:rsidR="001B2301" w:rsidRPr="00B415E3">
                  <w:rPr>
                    <w:rFonts w:ascii="Cardo" w:eastAsia="Cardo" w:hAnsi="Cardo" w:cs="Cardo"/>
                  </w:rPr>
                  <w:t>SE→PE</w:t>
                </w:r>
              </w:sdtContent>
            </w:sdt>
          </w:p>
        </w:tc>
        <w:tc>
          <w:tcPr>
            <w:tcW w:w="1769" w:type="dxa"/>
            <w:shd w:val="clear" w:color="auto" w:fill="auto"/>
            <w:vAlign w:val="center"/>
          </w:tcPr>
          <w:p w14:paraId="75176647" w14:textId="77777777" w:rsidR="0021652D" w:rsidRPr="00B415E3" w:rsidRDefault="001B2301">
            <w:pPr>
              <w:spacing w:before="0"/>
              <w:jc w:val="right"/>
            </w:pPr>
            <w:r w:rsidRPr="00B415E3">
              <w:t>0.21***</w:t>
            </w:r>
          </w:p>
        </w:tc>
        <w:tc>
          <w:tcPr>
            <w:tcW w:w="1290" w:type="dxa"/>
            <w:shd w:val="clear" w:color="auto" w:fill="auto"/>
            <w:vAlign w:val="center"/>
          </w:tcPr>
          <w:p w14:paraId="1DBBA69C" w14:textId="77777777" w:rsidR="0021652D" w:rsidRPr="00B415E3" w:rsidRDefault="001B2301">
            <w:pPr>
              <w:spacing w:before="0"/>
              <w:jc w:val="right"/>
            </w:pPr>
            <w:r w:rsidRPr="00B415E3">
              <w:t>0.00</w:t>
            </w:r>
          </w:p>
        </w:tc>
        <w:tc>
          <w:tcPr>
            <w:tcW w:w="1080" w:type="dxa"/>
          </w:tcPr>
          <w:p w14:paraId="42F3690B" w14:textId="77777777" w:rsidR="0021652D" w:rsidRPr="00B415E3" w:rsidRDefault="001B2301">
            <w:pPr>
              <w:spacing w:before="0"/>
              <w:jc w:val="right"/>
            </w:pPr>
            <w:r w:rsidRPr="00B415E3">
              <w:t>2.24</w:t>
            </w:r>
          </w:p>
        </w:tc>
        <w:tc>
          <w:tcPr>
            <w:tcW w:w="2791" w:type="dxa"/>
          </w:tcPr>
          <w:p w14:paraId="0F119195" w14:textId="77777777" w:rsidR="0021652D" w:rsidRPr="00B415E3" w:rsidRDefault="001B2301">
            <w:pPr>
              <w:spacing w:before="0"/>
              <w:jc w:val="center"/>
            </w:pPr>
            <w:r w:rsidRPr="00B415E3">
              <w:t>Supported</w:t>
            </w:r>
          </w:p>
        </w:tc>
      </w:tr>
      <w:tr w:rsidR="00B415E3" w:rsidRPr="00B415E3" w14:paraId="033D3724" w14:textId="77777777">
        <w:trPr>
          <w:trHeight w:val="300"/>
        </w:trPr>
        <w:tc>
          <w:tcPr>
            <w:tcW w:w="786" w:type="dxa"/>
          </w:tcPr>
          <w:p w14:paraId="265AA900" w14:textId="77777777" w:rsidR="0021652D" w:rsidRPr="00B415E3" w:rsidRDefault="001B2301">
            <w:pPr>
              <w:spacing w:before="0"/>
              <w:jc w:val="left"/>
            </w:pPr>
            <w:r w:rsidRPr="00B415E3">
              <w:t>H5b</w:t>
            </w:r>
          </w:p>
        </w:tc>
        <w:tc>
          <w:tcPr>
            <w:tcW w:w="1374" w:type="dxa"/>
            <w:shd w:val="clear" w:color="auto" w:fill="auto"/>
            <w:vAlign w:val="center"/>
          </w:tcPr>
          <w:p w14:paraId="7F121FAA" w14:textId="77777777" w:rsidR="0021652D" w:rsidRPr="00B415E3" w:rsidRDefault="000634DF">
            <w:pPr>
              <w:spacing w:before="0"/>
              <w:jc w:val="left"/>
            </w:pPr>
            <w:sdt>
              <w:sdtPr>
                <w:tag w:val="goog_rdk_9"/>
                <w:id w:val="1854527593"/>
              </w:sdtPr>
              <w:sdtEndPr/>
              <w:sdtContent>
                <w:r w:rsidR="001B2301" w:rsidRPr="00B415E3">
                  <w:rPr>
                    <w:rFonts w:ascii="Cardo" w:eastAsia="Cardo" w:hAnsi="Cardo" w:cs="Cardo"/>
                  </w:rPr>
                  <w:t>SE→CI</w:t>
                </w:r>
              </w:sdtContent>
            </w:sdt>
          </w:p>
        </w:tc>
        <w:tc>
          <w:tcPr>
            <w:tcW w:w="1769" w:type="dxa"/>
            <w:shd w:val="clear" w:color="auto" w:fill="auto"/>
            <w:vAlign w:val="center"/>
          </w:tcPr>
          <w:p w14:paraId="7555C593" w14:textId="77777777" w:rsidR="0021652D" w:rsidRPr="00B415E3" w:rsidRDefault="001B2301">
            <w:pPr>
              <w:spacing w:before="0"/>
              <w:jc w:val="right"/>
            </w:pPr>
            <w:r w:rsidRPr="00B415E3">
              <w:t>0.31***</w:t>
            </w:r>
          </w:p>
        </w:tc>
        <w:tc>
          <w:tcPr>
            <w:tcW w:w="1290" w:type="dxa"/>
            <w:shd w:val="clear" w:color="auto" w:fill="auto"/>
            <w:vAlign w:val="center"/>
          </w:tcPr>
          <w:p w14:paraId="76898C50" w14:textId="77777777" w:rsidR="0021652D" w:rsidRPr="00B415E3" w:rsidRDefault="001B2301">
            <w:pPr>
              <w:spacing w:before="0"/>
              <w:jc w:val="right"/>
            </w:pPr>
            <w:r w:rsidRPr="00B415E3">
              <w:t>0.00</w:t>
            </w:r>
          </w:p>
        </w:tc>
        <w:tc>
          <w:tcPr>
            <w:tcW w:w="1080" w:type="dxa"/>
          </w:tcPr>
          <w:p w14:paraId="15D8D945" w14:textId="77777777" w:rsidR="0021652D" w:rsidRPr="00B415E3" w:rsidRDefault="001B2301">
            <w:pPr>
              <w:spacing w:before="0"/>
              <w:jc w:val="right"/>
            </w:pPr>
            <w:r w:rsidRPr="00B415E3">
              <w:t>1.97</w:t>
            </w:r>
          </w:p>
        </w:tc>
        <w:tc>
          <w:tcPr>
            <w:tcW w:w="2791" w:type="dxa"/>
          </w:tcPr>
          <w:p w14:paraId="3B13D773" w14:textId="77777777" w:rsidR="0021652D" w:rsidRPr="00B415E3" w:rsidRDefault="001B2301">
            <w:pPr>
              <w:spacing w:before="0"/>
              <w:jc w:val="center"/>
            </w:pPr>
            <w:r w:rsidRPr="00B415E3">
              <w:t>Supported</w:t>
            </w:r>
          </w:p>
        </w:tc>
      </w:tr>
      <w:tr w:rsidR="00B415E3" w:rsidRPr="00B415E3" w14:paraId="122BF6F6" w14:textId="77777777">
        <w:trPr>
          <w:trHeight w:val="300"/>
        </w:trPr>
        <w:tc>
          <w:tcPr>
            <w:tcW w:w="786" w:type="dxa"/>
          </w:tcPr>
          <w:p w14:paraId="5E7903D1" w14:textId="77777777" w:rsidR="0021652D" w:rsidRPr="00B415E3" w:rsidRDefault="001B2301">
            <w:pPr>
              <w:spacing w:before="0"/>
              <w:jc w:val="left"/>
            </w:pPr>
            <w:r w:rsidRPr="00B415E3">
              <w:t>H6</w:t>
            </w:r>
          </w:p>
        </w:tc>
        <w:tc>
          <w:tcPr>
            <w:tcW w:w="1374" w:type="dxa"/>
            <w:shd w:val="clear" w:color="auto" w:fill="auto"/>
            <w:vAlign w:val="center"/>
          </w:tcPr>
          <w:p w14:paraId="63945B6B" w14:textId="77777777" w:rsidR="0021652D" w:rsidRPr="00B415E3" w:rsidRDefault="000634DF">
            <w:pPr>
              <w:spacing w:before="0"/>
              <w:jc w:val="left"/>
            </w:pPr>
            <w:sdt>
              <w:sdtPr>
                <w:tag w:val="goog_rdk_10"/>
                <w:id w:val="-1606419909"/>
              </w:sdtPr>
              <w:sdtEndPr/>
              <w:sdtContent>
                <w:r w:rsidR="001B2301" w:rsidRPr="00B415E3">
                  <w:rPr>
                    <w:rFonts w:ascii="Cardo" w:eastAsia="Cardo" w:hAnsi="Cardo" w:cs="Cardo"/>
                  </w:rPr>
                  <w:t>PE→CI</w:t>
                </w:r>
              </w:sdtContent>
            </w:sdt>
          </w:p>
        </w:tc>
        <w:tc>
          <w:tcPr>
            <w:tcW w:w="1769" w:type="dxa"/>
            <w:shd w:val="clear" w:color="auto" w:fill="auto"/>
            <w:vAlign w:val="center"/>
          </w:tcPr>
          <w:p w14:paraId="4D83F754" w14:textId="77777777" w:rsidR="0021652D" w:rsidRPr="00B415E3" w:rsidRDefault="001B2301">
            <w:pPr>
              <w:spacing w:before="0"/>
              <w:jc w:val="right"/>
            </w:pPr>
            <w:r w:rsidRPr="00B415E3">
              <w:t>0.49***</w:t>
            </w:r>
          </w:p>
        </w:tc>
        <w:tc>
          <w:tcPr>
            <w:tcW w:w="1290" w:type="dxa"/>
            <w:shd w:val="clear" w:color="auto" w:fill="auto"/>
            <w:vAlign w:val="center"/>
          </w:tcPr>
          <w:p w14:paraId="5AB43B17" w14:textId="77777777" w:rsidR="0021652D" w:rsidRPr="00B415E3" w:rsidRDefault="001B2301">
            <w:pPr>
              <w:spacing w:before="0"/>
              <w:jc w:val="right"/>
            </w:pPr>
            <w:r w:rsidRPr="00B415E3">
              <w:t>0.00</w:t>
            </w:r>
          </w:p>
        </w:tc>
        <w:tc>
          <w:tcPr>
            <w:tcW w:w="1080" w:type="dxa"/>
          </w:tcPr>
          <w:p w14:paraId="4F4BB892" w14:textId="77777777" w:rsidR="0021652D" w:rsidRPr="00B415E3" w:rsidRDefault="001B2301">
            <w:pPr>
              <w:spacing w:before="0"/>
              <w:jc w:val="right"/>
            </w:pPr>
            <w:r w:rsidRPr="00B415E3">
              <w:t>1.97</w:t>
            </w:r>
          </w:p>
        </w:tc>
        <w:tc>
          <w:tcPr>
            <w:tcW w:w="2791" w:type="dxa"/>
          </w:tcPr>
          <w:p w14:paraId="26F4A35D" w14:textId="77777777" w:rsidR="0021652D" w:rsidRPr="00B415E3" w:rsidRDefault="001B2301">
            <w:pPr>
              <w:spacing w:before="0"/>
              <w:jc w:val="center"/>
            </w:pPr>
            <w:r w:rsidRPr="00B415E3">
              <w:t>Supported</w:t>
            </w:r>
          </w:p>
        </w:tc>
      </w:tr>
      <w:tr w:rsidR="00B415E3" w:rsidRPr="00B415E3" w14:paraId="65644B3B" w14:textId="77777777">
        <w:trPr>
          <w:trHeight w:val="300"/>
        </w:trPr>
        <w:tc>
          <w:tcPr>
            <w:tcW w:w="786" w:type="dxa"/>
            <w:tcBorders>
              <w:bottom w:val="single" w:sz="4" w:space="0" w:color="000000"/>
            </w:tcBorders>
          </w:tcPr>
          <w:p w14:paraId="3BADFC7B" w14:textId="77777777" w:rsidR="0021652D" w:rsidRPr="00B415E3" w:rsidRDefault="001B2301">
            <w:pPr>
              <w:spacing w:before="0"/>
              <w:jc w:val="left"/>
            </w:pPr>
            <w:r w:rsidRPr="00B415E3">
              <w:t>H7</w:t>
            </w:r>
          </w:p>
        </w:tc>
        <w:tc>
          <w:tcPr>
            <w:tcW w:w="1374" w:type="dxa"/>
            <w:tcBorders>
              <w:bottom w:val="single" w:sz="4" w:space="0" w:color="000000"/>
            </w:tcBorders>
            <w:shd w:val="clear" w:color="auto" w:fill="auto"/>
            <w:vAlign w:val="center"/>
          </w:tcPr>
          <w:p w14:paraId="1CBBCE9B" w14:textId="77777777" w:rsidR="0021652D" w:rsidRPr="00B415E3" w:rsidRDefault="000634DF">
            <w:pPr>
              <w:spacing w:before="0"/>
              <w:jc w:val="left"/>
            </w:pPr>
            <w:sdt>
              <w:sdtPr>
                <w:tag w:val="goog_rdk_11"/>
                <w:id w:val="427709357"/>
              </w:sdtPr>
              <w:sdtEndPr/>
              <w:sdtContent>
                <w:r w:rsidR="001B2301" w:rsidRPr="00B415E3">
                  <w:rPr>
                    <w:rFonts w:ascii="Cardo" w:eastAsia="Cardo" w:hAnsi="Cardo" w:cs="Cardo"/>
                  </w:rPr>
                  <w:t>CI→T1</w:t>
                </w:r>
              </w:sdtContent>
            </w:sdt>
          </w:p>
        </w:tc>
        <w:tc>
          <w:tcPr>
            <w:tcW w:w="1769" w:type="dxa"/>
            <w:tcBorders>
              <w:bottom w:val="single" w:sz="4" w:space="0" w:color="000000"/>
            </w:tcBorders>
            <w:shd w:val="clear" w:color="auto" w:fill="auto"/>
            <w:vAlign w:val="center"/>
          </w:tcPr>
          <w:p w14:paraId="6BF1D491" w14:textId="77777777" w:rsidR="0021652D" w:rsidRPr="00B415E3" w:rsidRDefault="001B2301">
            <w:pPr>
              <w:spacing w:before="0"/>
              <w:jc w:val="right"/>
            </w:pPr>
            <w:r w:rsidRPr="00B415E3">
              <w:t>0.77***</w:t>
            </w:r>
          </w:p>
        </w:tc>
        <w:tc>
          <w:tcPr>
            <w:tcW w:w="1290" w:type="dxa"/>
            <w:tcBorders>
              <w:bottom w:val="single" w:sz="4" w:space="0" w:color="000000"/>
            </w:tcBorders>
            <w:shd w:val="clear" w:color="auto" w:fill="auto"/>
            <w:vAlign w:val="center"/>
          </w:tcPr>
          <w:p w14:paraId="3774AAB9" w14:textId="77777777" w:rsidR="0021652D" w:rsidRPr="00B415E3" w:rsidRDefault="001B2301">
            <w:pPr>
              <w:spacing w:before="0"/>
              <w:jc w:val="right"/>
            </w:pPr>
            <w:r w:rsidRPr="00B415E3">
              <w:t>0.00</w:t>
            </w:r>
          </w:p>
        </w:tc>
        <w:tc>
          <w:tcPr>
            <w:tcW w:w="1080" w:type="dxa"/>
            <w:tcBorders>
              <w:bottom w:val="single" w:sz="4" w:space="0" w:color="000000"/>
            </w:tcBorders>
          </w:tcPr>
          <w:p w14:paraId="11C6525A" w14:textId="77777777" w:rsidR="0021652D" w:rsidRPr="00B415E3" w:rsidRDefault="001B2301">
            <w:pPr>
              <w:spacing w:before="0"/>
              <w:jc w:val="right"/>
            </w:pPr>
            <w:r w:rsidRPr="00B415E3">
              <w:t>1.00</w:t>
            </w:r>
          </w:p>
        </w:tc>
        <w:tc>
          <w:tcPr>
            <w:tcW w:w="2791" w:type="dxa"/>
            <w:tcBorders>
              <w:bottom w:val="single" w:sz="4" w:space="0" w:color="000000"/>
            </w:tcBorders>
          </w:tcPr>
          <w:p w14:paraId="005203B1" w14:textId="77777777" w:rsidR="0021652D" w:rsidRPr="00B415E3" w:rsidRDefault="001B2301">
            <w:pPr>
              <w:spacing w:before="0"/>
              <w:jc w:val="center"/>
            </w:pPr>
            <w:r w:rsidRPr="00B415E3">
              <w:t>Supported</w:t>
            </w:r>
          </w:p>
        </w:tc>
      </w:tr>
    </w:tbl>
    <w:p w14:paraId="53A6FD89" w14:textId="77777777" w:rsidR="0021652D" w:rsidRPr="00B415E3" w:rsidRDefault="001B2301">
      <w:pPr>
        <w:spacing w:line="480" w:lineRule="auto"/>
        <w:rPr>
          <w:sz w:val="20"/>
          <w:szCs w:val="20"/>
        </w:rPr>
      </w:pPr>
      <w:r w:rsidRPr="00B415E3">
        <w:t xml:space="preserve">Notes: </w:t>
      </w:r>
      <w:r w:rsidRPr="00B415E3">
        <w:rPr>
          <w:sz w:val="20"/>
          <w:szCs w:val="20"/>
        </w:rPr>
        <w:t>***The corresponding p-values suggest significance of the coefficients.</w:t>
      </w:r>
    </w:p>
    <w:p w14:paraId="48595699" w14:textId="44C0F2EE" w:rsidR="0021652D" w:rsidRPr="00B415E3" w:rsidRDefault="001B2301">
      <w:pPr>
        <w:spacing w:line="480" w:lineRule="auto"/>
        <w:rPr>
          <w:sz w:val="24"/>
          <w:szCs w:val="24"/>
        </w:rPr>
      </w:pPr>
      <w:r w:rsidRPr="00B415E3">
        <w:rPr>
          <w:sz w:val="24"/>
          <w:szCs w:val="24"/>
        </w:rPr>
        <w:t>Furthermore, H7, which hypothesizes the players’ intention positively affects their actual continuation of playing the game in time T1 is supported, strengthening the aforementioned results. Indeed, players who indicated that they would continue playing the game, in fact they did at a more than 77% rate. We should note that when comparing H1a, H1b, H4a and H4b, UI has a stronger effect on PE (</w:t>
      </w:r>
      <w:r w:rsidRPr="00B415E3">
        <w:rPr>
          <w:sz w:val="24"/>
          <w:szCs w:val="24"/>
          <w:highlight w:val="white"/>
        </w:rPr>
        <w:t>β =</w:t>
      </w:r>
      <w:r w:rsidRPr="00B415E3">
        <w:rPr>
          <w:sz w:val="24"/>
          <w:szCs w:val="24"/>
        </w:rPr>
        <w:t xml:space="preserve"> 0.41, p&lt;0.001) rather than on SE (</w:t>
      </w:r>
      <w:r w:rsidRPr="00B415E3">
        <w:rPr>
          <w:sz w:val="24"/>
          <w:szCs w:val="24"/>
          <w:highlight w:val="white"/>
        </w:rPr>
        <w:t>β =</w:t>
      </w:r>
      <w:r w:rsidRPr="00B415E3">
        <w:rPr>
          <w:sz w:val="24"/>
          <w:szCs w:val="24"/>
        </w:rPr>
        <w:t xml:space="preserve"> 0.25, p&lt;0.001). This means that when individuals feel similar and identify themselves with the top performers, they feel that they enjoy the game more, possibly as a result of their anticipation to perform as well as the top performers in the game. On the other hand, DC has a stronger effect on SE (</w:t>
      </w:r>
      <w:r w:rsidRPr="00B415E3">
        <w:rPr>
          <w:sz w:val="24"/>
          <w:szCs w:val="24"/>
          <w:highlight w:val="white"/>
        </w:rPr>
        <w:t>β =</w:t>
      </w:r>
      <w:r w:rsidRPr="00B415E3">
        <w:rPr>
          <w:sz w:val="24"/>
          <w:szCs w:val="24"/>
        </w:rPr>
        <w:t xml:space="preserve"> 0.36, p&lt;0.001) rather than on PE (</w:t>
      </w:r>
      <w:r w:rsidRPr="00B415E3">
        <w:rPr>
          <w:sz w:val="24"/>
          <w:szCs w:val="24"/>
          <w:highlight w:val="white"/>
        </w:rPr>
        <w:t>β =</w:t>
      </w:r>
      <w:r w:rsidRPr="00B415E3">
        <w:rPr>
          <w:sz w:val="24"/>
          <w:szCs w:val="24"/>
        </w:rPr>
        <w:t xml:space="preserve"> 0.24, p&lt;0.001). This implies that when players are distancing themselves from the poor performers of the game and they see that they have distinct differences, they feel that their skills in the game are high and their online social gaming self-efficacy is increasing. In summary, UI makes players enjoy the game more because they anticipate being at the top of the leaderboard or the level map because they see similarities with the top performance. On the contrary, DC makes players feel distant from the bad performers, because they feel dissimilar from the players at the bottom of the leaderboard or level map.</w:t>
      </w:r>
    </w:p>
    <w:p w14:paraId="265BFFA7" w14:textId="77777777" w:rsidR="0021652D" w:rsidRPr="00B415E3" w:rsidRDefault="001B2301">
      <w:pPr>
        <w:spacing w:line="480" w:lineRule="auto"/>
        <w:rPr>
          <w:sz w:val="24"/>
          <w:szCs w:val="24"/>
        </w:rPr>
      </w:pPr>
      <w:r w:rsidRPr="00B415E3">
        <w:rPr>
          <w:sz w:val="24"/>
          <w:szCs w:val="24"/>
        </w:rPr>
        <w:t xml:space="preserve">Finally, we tested for the presence of reverse causality between all examined constructs, and we found that reverse causality is not present in our model. Specifically, following the Simpson’s </w:t>
      </w:r>
      <w:r w:rsidRPr="00B415E3">
        <w:rPr>
          <w:sz w:val="24"/>
          <w:szCs w:val="24"/>
        </w:rPr>
        <w:lastRenderedPageBreak/>
        <w:t xml:space="preserve">paradox analysis, we assessed the presence of this paradox. A potential presence of the Simpson’s paradox would mean presence of reverse causality in our results (Kock et al, 2016). According to Simpson’s paradox, the sign of the causality assessment path coefficients indicates its presence or not. We found all causality assessment path-correlation signs have values of 1, indicating absence the Simpson’s paradox and, consequently, absence of reverse causality (Kock et al, 2016). Furthermore, we tested for the presence of statistical suppression, or omitted variable bias, which could be another indication for reverse causality. To test for statistical suppression, we calculated all path-correlation ratios. If any of these ratios had values greater than 1, we would have indications for reverse causality (Kock et al, 2016). All absolute path-correlation ratios in our analysis have values lower than 1, signalling absence of statistical suppression. In addition, to delve deeper into this relationship, all path-correlation differences should have values greater than 1.3, if the p values are lower than 0.05. In our case, all path-correlation differences have values well below the threshold of 1.3, not creating any concerns for reverse causality among any of the examined relationships. (Kock et al, 2016). Finally, we directly calculated the bivariate causal direction ratios (Kock et al, 2016), which would reveal the presence of reversed relationships in our model. Specifically, these ratios are calculated by dividing the coefficient of the reversed link by the path coefficient of the link toward the hypothesized direction. These ratios should be lower or equal to 1 to indicate absence of reverse causality. In our case, all these ratios have values below 1, only with the ratio between CI and T1 being 1.039, which is very close to 1 and does not create concerns about reverse causality. However, to examine the presence of reversed effects deeper, we calculated the bivariate causal direction differences that show if, in the presence of reversed causality, any reversed relationships are significant or not. If any of these values are greater than 1.3 when the p values are lower than 0.05, then in combination with the previous path coefficient </w:t>
      </w:r>
      <w:r w:rsidRPr="00B415E3">
        <w:rPr>
          <w:sz w:val="24"/>
          <w:szCs w:val="24"/>
        </w:rPr>
        <w:lastRenderedPageBreak/>
        <w:t>ratios can be used to identify significant reversed relationships. In our case, all values of these differences are well below 1.3 (maximum value 0.498), indicating that there is no significant reversed relationship in our model. Especially, in the relationship between CI and T1, which is the only ratio that was marginally above 1, the bivariate causal direction difference has a value of 0.032, which is very well below 1.3, therefore, creating no concerns for presence of reverse causality.</w:t>
      </w:r>
    </w:p>
    <w:p w14:paraId="326B7BDE" w14:textId="77777777" w:rsidR="0021652D" w:rsidRPr="00B415E3" w:rsidRDefault="001B2301">
      <w:pPr>
        <w:pStyle w:val="Heading2"/>
        <w:numPr>
          <w:ilvl w:val="1"/>
          <w:numId w:val="2"/>
        </w:numPr>
        <w:spacing w:line="480" w:lineRule="auto"/>
        <w:rPr>
          <w:color w:val="auto"/>
        </w:rPr>
      </w:pPr>
      <w:r w:rsidRPr="00B415E3">
        <w:rPr>
          <w:color w:val="auto"/>
        </w:rPr>
        <w:t>Assessment of model fit</w:t>
      </w:r>
    </w:p>
    <w:p w14:paraId="607BB117" w14:textId="39347BCA" w:rsidR="0021652D" w:rsidRPr="00B415E3" w:rsidRDefault="001B2301">
      <w:pPr>
        <w:spacing w:line="480" w:lineRule="auto"/>
        <w:rPr>
          <w:sz w:val="24"/>
          <w:szCs w:val="24"/>
        </w:rPr>
      </w:pPr>
      <w:r w:rsidRPr="00B415E3">
        <w:rPr>
          <w:sz w:val="24"/>
          <w:szCs w:val="24"/>
        </w:rPr>
        <w:t>We evaluated the research model fit through three fit indices: Path Coefficient (APC), Average R-Squared (ARS), and Average variance inflation factor (AVIF). Both, the APC = 0.344 (p &lt; 0.001), ARS = 0.647 (p &lt;0.001) are significant below 0.05 (Kock 2015). The results show a value of AVIF = 1.764, which is below the recommended threshold of 3.3 (Knock 2015), indicating our model does not have vertical/lateral collinearity issues.</w:t>
      </w:r>
    </w:p>
    <w:p w14:paraId="3B5DC3DC" w14:textId="10287992" w:rsidR="00676A16" w:rsidRPr="00B415E3" w:rsidRDefault="00676A16" w:rsidP="00676A16">
      <w:pPr>
        <w:spacing w:line="480" w:lineRule="auto"/>
        <w:rPr>
          <w:sz w:val="24"/>
          <w:szCs w:val="24"/>
        </w:rPr>
      </w:pPr>
      <w:bookmarkStart w:id="6" w:name="_heading=h.3znysh7" w:colFirst="0" w:colLast="0"/>
      <w:bookmarkStart w:id="7" w:name="_Hlk44590172"/>
      <w:bookmarkEnd w:id="6"/>
      <w:r w:rsidRPr="00B415E3">
        <w:rPr>
          <w:sz w:val="24"/>
          <w:szCs w:val="24"/>
        </w:rPr>
        <w:t>Furthermore, we used Normed-fit index (NFI), Chi-square, Stone-Geisser's Q² value</w:t>
      </w:r>
      <w:r w:rsidR="00F95AFC" w:rsidRPr="00B415E3">
        <w:rPr>
          <w:sz w:val="24"/>
          <w:szCs w:val="24"/>
        </w:rPr>
        <w:t>s</w:t>
      </w:r>
      <w:r w:rsidRPr="00B415E3">
        <w:rPr>
          <w:sz w:val="24"/>
          <w:szCs w:val="24"/>
        </w:rPr>
        <w:t xml:space="preserve">, and Standardized Root Mean Square Residual (SRMR) to assess the goodness of fit of our model. </w:t>
      </w:r>
      <w:bookmarkEnd w:id="7"/>
      <w:r w:rsidRPr="00B415E3">
        <w:rPr>
          <w:sz w:val="24"/>
          <w:szCs w:val="24"/>
        </w:rPr>
        <w:t xml:space="preserve">Fit measures values of NFI=0.83, Chi-square (760.13), indicate that our model is an acceptable fit to the data. </w:t>
      </w:r>
      <w:bookmarkStart w:id="8" w:name="_Hlk44591328"/>
      <w:r w:rsidRPr="00B415E3">
        <w:rPr>
          <w:sz w:val="24"/>
          <w:szCs w:val="24"/>
        </w:rPr>
        <w:t xml:space="preserve">The Stone-Geisser Q² values (Stone, 1974; Geisser, 1974) were </w:t>
      </w:r>
      <w:r w:rsidR="000448F7" w:rsidRPr="00B415E3">
        <w:rPr>
          <w:sz w:val="24"/>
          <w:szCs w:val="24"/>
        </w:rPr>
        <w:t>calculated</w:t>
      </w:r>
      <w:r w:rsidRPr="00B415E3">
        <w:rPr>
          <w:sz w:val="24"/>
          <w:szCs w:val="24"/>
        </w:rPr>
        <w:t xml:space="preserve"> using the blindfolding procedure. The results show that the Q² </w:t>
      </w:r>
      <w:r w:rsidR="000448F7" w:rsidRPr="00B415E3">
        <w:rPr>
          <w:sz w:val="24"/>
          <w:szCs w:val="24"/>
        </w:rPr>
        <w:t>values are</w:t>
      </w:r>
      <w:r w:rsidRPr="00B415E3">
        <w:rPr>
          <w:sz w:val="24"/>
          <w:szCs w:val="24"/>
        </w:rPr>
        <w:t xml:space="preserve"> greater than zero </w:t>
      </w:r>
      <w:r w:rsidR="000448F7" w:rsidRPr="00B415E3">
        <w:rPr>
          <w:sz w:val="24"/>
          <w:szCs w:val="24"/>
        </w:rPr>
        <w:t xml:space="preserve">(Hair et al. 2017) </w:t>
      </w:r>
      <w:r w:rsidRPr="00B415E3">
        <w:rPr>
          <w:sz w:val="24"/>
          <w:szCs w:val="24"/>
        </w:rPr>
        <w:t xml:space="preserve">for all </w:t>
      </w:r>
      <w:r w:rsidR="000448F7" w:rsidRPr="00B415E3">
        <w:rPr>
          <w:sz w:val="24"/>
          <w:szCs w:val="24"/>
        </w:rPr>
        <w:t xml:space="preserve">predictor </w:t>
      </w:r>
      <w:r w:rsidRPr="00B415E3">
        <w:rPr>
          <w:sz w:val="24"/>
          <w:szCs w:val="24"/>
        </w:rPr>
        <w:t>constructs</w:t>
      </w:r>
      <w:r w:rsidR="000448F7" w:rsidRPr="00B415E3">
        <w:rPr>
          <w:sz w:val="24"/>
          <w:szCs w:val="24"/>
        </w:rPr>
        <w:t xml:space="preserve"> of our model</w:t>
      </w:r>
      <w:r w:rsidRPr="00B415E3">
        <w:rPr>
          <w:sz w:val="24"/>
          <w:szCs w:val="24"/>
        </w:rPr>
        <w:t>: CI</w:t>
      </w:r>
      <w:r w:rsidR="000448F7" w:rsidRPr="00B415E3">
        <w:rPr>
          <w:sz w:val="24"/>
          <w:szCs w:val="24"/>
        </w:rPr>
        <w:t xml:space="preserve"> </w:t>
      </w:r>
      <w:r w:rsidRPr="00B415E3">
        <w:rPr>
          <w:sz w:val="24"/>
          <w:szCs w:val="24"/>
        </w:rPr>
        <w:t>(0.41), PE</w:t>
      </w:r>
      <w:r w:rsidR="000448F7" w:rsidRPr="00B415E3">
        <w:rPr>
          <w:sz w:val="24"/>
          <w:szCs w:val="24"/>
        </w:rPr>
        <w:t xml:space="preserve"> </w:t>
      </w:r>
      <w:r w:rsidRPr="00B415E3">
        <w:rPr>
          <w:sz w:val="24"/>
          <w:szCs w:val="24"/>
        </w:rPr>
        <w:t>(0.58), SE</w:t>
      </w:r>
      <w:r w:rsidR="000448F7" w:rsidRPr="00B415E3">
        <w:rPr>
          <w:sz w:val="24"/>
          <w:szCs w:val="24"/>
        </w:rPr>
        <w:t xml:space="preserve"> </w:t>
      </w:r>
      <w:r w:rsidRPr="00B415E3">
        <w:rPr>
          <w:sz w:val="24"/>
          <w:szCs w:val="24"/>
        </w:rPr>
        <w:t>(0.39), T1</w:t>
      </w:r>
      <w:r w:rsidR="000448F7" w:rsidRPr="00B415E3">
        <w:rPr>
          <w:sz w:val="24"/>
          <w:szCs w:val="24"/>
        </w:rPr>
        <w:t xml:space="preserve"> </w:t>
      </w:r>
      <w:r w:rsidRPr="00B415E3">
        <w:rPr>
          <w:sz w:val="24"/>
          <w:szCs w:val="24"/>
        </w:rPr>
        <w:t>(0.59). In addition, the SRMR quality criterion</w:t>
      </w:r>
      <w:r w:rsidR="00253DB5" w:rsidRPr="00B415E3">
        <w:rPr>
          <w:sz w:val="24"/>
          <w:szCs w:val="24"/>
        </w:rPr>
        <w:t xml:space="preserve"> (</w:t>
      </w:r>
      <w:r w:rsidR="00253DB5" w:rsidRPr="00B415E3">
        <w:rPr>
          <w:sz w:val="24"/>
          <w:szCs w:val="24"/>
          <w:lang w:val="en-US"/>
        </w:rPr>
        <w:t>Henseler et al. 2014)</w:t>
      </w:r>
      <w:r w:rsidR="00253DB5" w:rsidRPr="00B415E3">
        <w:rPr>
          <w:sz w:val="24"/>
          <w:szCs w:val="24"/>
        </w:rPr>
        <w:t xml:space="preserve"> </w:t>
      </w:r>
      <w:r w:rsidRPr="00B415E3">
        <w:rPr>
          <w:sz w:val="24"/>
          <w:szCs w:val="24"/>
        </w:rPr>
        <w:t>has a value of 0.05, which is below the acceptable limit of 0.08; hence, the fit of our model is confirmed (Hair et al. 2017</w:t>
      </w:r>
      <w:r w:rsidR="002C356E">
        <w:rPr>
          <w:sz w:val="24"/>
          <w:szCs w:val="24"/>
        </w:rPr>
        <w:t>;</w:t>
      </w:r>
      <w:r w:rsidR="000448F7" w:rsidRPr="00B415E3">
        <w:rPr>
          <w:sz w:val="24"/>
          <w:szCs w:val="24"/>
        </w:rPr>
        <w:t xml:space="preserve"> </w:t>
      </w:r>
      <w:r w:rsidR="000448F7" w:rsidRPr="00B415E3">
        <w:rPr>
          <w:sz w:val="24"/>
          <w:szCs w:val="24"/>
          <w:lang w:val="en-US"/>
        </w:rPr>
        <w:t xml:space="preserve">Hu </w:t>
      </w:r>
      <w:r w:rsidR="002C356E">
        <w:rPr>
          <w:sz w:val="24"/>
          <w:szCs w:val="24"/>
          <w:lang w:val="en-US"/>
        </w:rPr>
        <w:t>and</w:t>
      </w:r>
      <w:r w:rsidR="000448F7" w:rsidRPr="00B415E3">
        <w:rPr>
          <w:sz w:val="24"/>
          <w:szCs w:val="24"/>
          <w:lang w:val="en-US"/>
        </w:rPr>
        <w:t xml:space="preserve"> Bentler, 1999</w:t>
      </w:r>
      <w:r w:rsidRPr="00B415E3">
        <w:rPr>
          <w:sz w:val="24"/>
          <w:szCs w:val="24"/>
        </w:rPr>
        <w:t>).</w:t>
      </w:r>
    </w:p>
    <w:bookmarkEnd w:id="8"/>
    <w:p w14:paraId="7CC26874" w14:textId="77777777" w:rsidR="0021652D" w:rsidRPr="00B415E3" w:rsidRDefault="001B2301">
      <w:pPr>
        <w:pStyle w:val="Heading2"/>
        <w:spacing w:line="480" w:lineRule="auto"/>
        <w:rPr>
          <w:color w:val="auto"/>
        </w:rPr>
      </w:pPr>
      <w:r w:rsidRPr="00B415E3">
        <w:rPr>
          <w:color w:val="auto"/>
        </w:rPr>
        <w:lastRenderedPageBreak/>
        <w:t>5.4 Statistical Power Analysis</w:t>
      </w:r>
    </w:p>
    <w:p w14:paraId="492E2A31" w14:textId="77777777" w:rsidR="0021652D" w:rsidRPr="00B415E3" w:rsidRDefault="001B2301">
      <w:pPr>
        <w:spacing w:line="480" w:lineRule="auto"/>
        <w:rPr>
          <w:sz w:val="24"/>
          <w:szCs w:val="24"/>
        </w:rPr>
      </w:pPr>
      <w:bookmarkStart w:id="9" w:name="_heading=h.2et92p0" w:colFirst="0" w:colLast="0"/>
      <w:bookmarkEnd w:id="9"/>
      <w:r w:rsidRPr="00B415E3">
        <w:rPr>
          <w:sz w:val="24"/>
          <w:szCs w:val="24"/>
        </w:rPr>
        <w:t>We conducted statistical power analysis for each statistically significant path coefficient in our model (Table 3) to assess the possibility of type II errors. We observe that overall, our model has a very good power, with the relationship between UI and SE being the only one that has power of 0.77, slightly lower than the recommended 0.8 threshold (Kock et al. 2018). Therefore, we can conclude that our model can prevent type II errors with a very high probability.</w:t>
      </w:r>
    </w:p>
    <w:tbl>
      <w:tblPr>
        <w:tblStyle w:val="ac"/>
        <w:tblW w:w="7650" w:type="dxa"/>
        <w:tblBorders>
          <w:insideV w:val="single" w:sz="4" w:space="0" w:color="000000"/>
        </w:tblBorders>
        <w:tblLayout w:type="fixed"/>
        <w:tblLook w:val="0400" w:firstRow="0" w:lastRow="0" w:firstColumn="0" w:lastColumn="0" w:noHBand="0" w:noVBand="1"/>
      </w:tblPr>
      <w:tblGrid>
        <w:gridCol w:w="786"/>
        <w:gridCol w:w="1284"/>
        <w:gridCol w:w="1859"/>
        <w:gridCol w:w="1201"/>
        <w:gridCol w:w="2520"/>
      </w:tblGrid>
      <w:tr w:rsidR="00B415E3" w:rsidRPr="00B415E3" w14:paraId="5374D00E" w14:textId="77777777">
        <w:trPr>
          <w:trHeight w:val="300"/>
        </w:trPr>
        <w:tc>
          <w:tcPr>
            <w:tcW w:w="7650" w:type="dxa"/>
            <w:gridSpan w:val="5"/>
            <w:tcBorders>
              <w:bottom w:val="single" w:sz="4" w:space="0" w:color="000000"/>
            </w:tcBorders>
          </w:tcPr>
          <w:p w14:paraId="0B1583FA" w14:textId="77777777" w:rsidR="0021652D" w:rsidRPr="00B415E3" w:rsidRDefault="001B2301">
            <w:pPr>
              <w:spacing w:line="480" w:lineRule="auto"/>
            </w:pPr>
            <w:bookmarkStart w:id="10" w:name="_heading=h.tyjcwt" w:colFirst="0" w:colLast="0"/>
            <w:bookmarkEnd w:id="10"/>
            <w:r w:rsidRPr="00B415E3">
              <w:t>Table 3: Statistical power of the presented model</w:t>
            </w:r>
          </w:p>
        </w:tc>
      </w:tr>
      <w:tr w:rsidR="00B415E3" w:rsidRPr="00B415E3" w14:paraId="62BB8718" w14:textId="77777777">
        <w:trPr>
          <w:trHeight w:val="300"/>
        </w:trPr>
        <w:tc>
          <w:tcPr>
            <w:tcW w:w="786" w:type="dxa"/>
            <w:tcBorders>
              <w:top w:val="single" w:sz="4" w:space="0" w:color="000000"/>
              <w:bottom w:val="single" w:sz="4" w:space="0" w:color="000000"/>
              <w:right w:val="nil"/>
            </w:tcBorders>
          </w:tcPr>
          <w:p w14:paraId="435E98CE" w14:textId="77777777" w:rsidR="0021652D" w:rsidRPr="00B415E3" w:rsidRDefault="0021652D">
            <w:pPr>
              <w:spacing w:before="0"/>
              <w:jc w:val="center"/>
            </w:pPr>
          </w:p>
        </w:tc>
        <w:tc>
          <w:tcPr>
            <w:tcW w:w="1284" w:type="dxa"/>
            <w:tcBorders>
              <w:top w:val="single" w:sz="4" w:space="0" w:color="000000"/>
              <w:left w:val="nil"/>
              <w:bottom w:val="single" w:sz="4" w:space="0" w:color="000000"/>
              <w:right w:val="nil"/>
            </w:tcBorders>
            <w:shd w:val="clear" w:color="auto" w:fill="auto"/>
            <w:vAlign w:val="center"/>
          </w:tcPr>
          <w:p w14:paraId="1F18EA02" w14:textId="77777777" w:rsidR="0021652D" w:rsidRPr="00B415E3" w:rsidRDefault="001B2301">
            <w:pPr>
              <w:spacing w:before="0"/>
              <w:jc w:val="left"/>
            </w:pPr>
            <w:r w:rsidRPr="00B415E3">
              <w:t>Path</w:t>
            </w:r>
          </w:p>
        </w:tc>
        <w:tc>
          <w:tcPr>
            <w:tcW w:w="1859" w:type="dxa"/>
            <w:tcBorders>
              <w:top w:val="single" w:sz="4" w:space="0" w:color="000000"/>
              <w:left w:val="nil"/>
              <w:bottom w:val="single" w:sz="4" w:space="0" w:color="000000"/>
              <w:right w:val="nil"/>
            </w:tcBorders>
            <w:shd w:val="clear" w:color="auto" w:fill="auto"/>
            <w:vAlign w:val="center"/>
          </w:tcPr>
          <w:p w14:paraId="19D61A08" w14:textId="77777777" w:rsidR="0021652D" w:rsidRPr="00B415E3" w:rsidRDefault="001B2301">
            <w:pPr>
              <w:spacing w:before="0"/>
              <w:jc w:val="center"/>
            </w:pPr>
            <w:r w:rsidRPr="00B415E3">
              <w:t>Path coefficient</w:t>
            </w:r>
          </w:p>
        </w:tc>
        <w:tc>
          <w:tcPr>
            <w:tcW w:w="1201" w:type="dxa"/>
            <w:tcBorders>
              <w:top w:val="single" w:sz="4" w:space="0" w:color="000000"/>
              <w:left w:val="nil"/>
              <w:bottom w:val="single" w:sz="4" w:space="0" w:color="000000"/>
              <w:right w:val="nil"/>
            </w:tcBorders>
            <w:shd w:val="clear" w:color="auto" w:fill="auto"/>
            <w:vAlign w:val="center"/>
          </w:tcPr>
          <w:p w14:paraId="45B16D70" w14:textId="77777777" w:rsidR="0021652D" w:rsidRPr="00B415E3" w:rsidRDefault="001B2301">
            <w:pPr>
              <w:spacing w:before="0"/>
              <w:jc w:val="center"/>
            </w:pPr>
            <w:r w:rsidRPr="00B415E3">
              <w:t>Statistical Power</w:t>
            </w:r>
          </w:p>
        </w:tc>
        <w:tc>
          <w:tcPr>
            <w:tcW w:w="2520" w:type="dxa"/>
            <w:tcBorders>
              <w:top w:val="single" w:sz="4" w:space="0" w:color="000000"/>
              <w:left w:val="nil"/>
              <w:bottom w:val="single" w:sz="4" w:space="0" w:color="000000"/>
            </w:tcBorders>
          </w:tcPr>
          <w:p w14:paraId="42C034EF" w14:textId="77777777" w:rsidR="0021652D" w:rsidRPr="00B415E3" w:rsidRDefault="0021652D">
            <w:pPr>
              <w:spacing w:before="0"/>
              <w:jc w:val="center"/>
            </w:pPr>
          </w:p>
        </w:tc>
      </w:tr>
      <w:tr w:rsidR="00B415E3" w:rsidRPr="00B415E3" w14:paraId="3B30473F" w14:textId="77777777">
        <w:trPr>
          <w:trHeight w:val="300"/>
        </w:trPr>
        <w:tc>
          <w:tcPr>
            <w:tcW w:w="786" w:type="dxa"/>
            <w:tcBorders>
              <w:top w:val="single" w:sz="4" w:space="0" w:color="000000"/>
              <w:right w:val="nil"/>
            </w:tcBorders>
          </w:tcPr>
          <w:p w14:paraId="4F3A8E7E" w14:textId="77777777" w:rsidR="0021652D" w:rsidRPr="00B415E3" w:rsidRDefault="001B2301">
            <w:pPr>
              <w:spacing w:before="0"/>
              <w:jc w:val="left"/>
            </w:pPr>
            <w:r w:rsidRPr="00B415E3">
              <w:t>H1a</w:t>
            </w:r>
          </w:p>
        </w:tc>
        <w:tc>
          <w:tcPr>
            <w:tcW w:w="1284" w:type="dxa"/>
            <w:tcBorders>
              <w:top w:val="single" w:sz="4" w:space="0" w:color="000000"/>
              <w:left w:val="nil"/>
              <w:right w:val="nil"/>
            </w:tcBorders>
            <w:shd w:val="clear" w:color="auto" w:fill="auto"/>
            <w:vAlign w:val="center"/>
          </w:tcPr>
          <w:p w14:paraId="14794B65" w14:textId="77777777" w:rsidR="0021652D" w:rsidRPr="00B415E3" w:rsidRDefault="000634DF">
            <w:pPr>
              <w:spacing w:before="0"/>
              <w:jc w:val="left"/>
            </w:pPr>
            <w:sdt>
              <w:sdtPr>
                <w:tag w:val="goog_rdk_12"/>
                <w:id w:val="1973474722"/>
              </w:sdtPr>
              <w:sdtEndPr/>
              <w:sdtContent>
                <w:r w:rsidR="001B2301" w:rsidRPr="00B415E3">
                  <w:rPr>
                    <w:rFonts w:ascii="Cardo" w:eastAsia="Cardo" w:hAnsi="Cardo" w:cs="Cardo"/>
                  </w:rPr>
                  <w:t>UI→SE</w:t>
                </w:r>
              </w:sdtContent>
            </w:sdt>
          </w:p>
        </w:tc>
        <w:tc>
          <w:tcPr>
            <w:tcW w:w="1859" w:type="dxa"/>
            <w:tcBorders>
              <w:top w:val="single" w:sz="4" w:space="0" w:color="000000"/>
              <w:left w:val="nil"/>
              <w:right w:val="nil"/>
            </w:tcBorders>
            <w:shd w:val="clear" w:color="auto" w:fill="auto"/>
            <w:vAlign w:val="center"/>
          </w:tcPr>
          <w:p w14:paraId="0C4E3072" w14:textId="77777777" w:rsidR="0021652D" w:rsidRPr="00B415E3" w:rsidRDefault="001B2301">
            <w:pPr>
              <w:spacing w:before="0"/>
              <w:jc w:val="right"/>
            </w:pPr>
            <w:r w:rsidRPr="00B415E3">
              <w:t>0.25***</w:t>
            </w:r>
          </w:p>
        </w:tc>
        <w:tc>
          <w:tcPr>
            <w:tcW w:w="1201" w:type="dxa"/>
            <w:tcBorders>
              <w:top w:val="single" w:sz="4" w:space="0" w:color="000000"/>
              <w:left w:val="nil"/>
              <w:right w:val="nil"/>
            </w:tcBorders>
            <w:shd w:val="clear" w:color="auto" w:fill="auto"/>
            <w:vAlign w:val="center"/>
          </w:tcPr>
          <w:p w14:paraId="2EA53538" w14:textId="77777777" w:rsidR="0021652D" w:rsidRPr="00B415E3" w:rsidRDefault="001B2301">
            <w:pPr>
              <w:spacing w:before="0"/>
              <w:jc w:val="right"/>
            </w:pPr>
            <w:r w:rsidRPr="00B415E3">
              <w:t>0.77</w:t>
            </w:r>
          </w:p>
        </w:tc>
        <w:tc>
          <w:tcPr>
            <w:tcW w:w="2520" w:type="dxa"/>
            <w:tcBorders>
              <w:top w:val="single" w:sz="4" w:space="0" w:color="000000"/>
              <w:left w:val="nil"/>
            </w:tcBorders>
          </w:tcPr>
          <w:p w14:paraId="12F77AD7" w14:textId="77777777" w:rsidR="0021652D" w:rsidRPr="00B415E3" w:rsidRDefault="001B2301">
            <w:pPr>
              <w:spacing w:before="0"/>
              <w:jc w:val="center"/>
            </w:pPr>
            <w:r w:rsidRPr="00B415E3">
              <w:t>Supported</w:t>
            </w:r>
          </w:p>
        </w:tc>
      </w:tr>
      <w:tr w:rsidR="00B415E3" w:rsidRPr="00B415E3" w14:paraId="656FEFB8" w14:textId="77777777">
        <w:trPr>
          <w:trHeight w:val="300"/>
        </w:trPr>
        <w:tc>
          <w:tcPr>
            <w:tcW w:w="786" w:type="dxa"/>
            <w:tcBorders>
              <w:right w:val="nil"/>
            </w:tcBorders>
          </w:tcPr>
          <w:p w14:paraId="462A1E1E" w14:textId="77777777" w:rsidR="0021652D" w:rsidRPr="00B415E3" w:rsidRDefault="001B2301">
            <w:pPr>
              <w:spacing w:before="0"/>
              <w:jc w:val="left"/>
            </w:pPr>
            <w:r w:rsidRPr="00B415E3">
              <w:t>H1b</w:t>
            </w:r>
          </w:p>
        </w:tc>
        <w:tc>
          <w:tcPr>
            <w:tcW w:w="1284" w:type="dxa"/>
            <w:tcBorders>
              <w:left w:val="nil"/>
              <w:right w:val="nil"/>
            </w:tcBorders>
            <w:shd w:val="clear" w:color="auto" w:fill="auto"/>
            <w:vAlign w:val="center"/>
          </w:tcPr>
          <w:p w14:paraId="58D243C2" w14:textId="77777777" w:rsidR="0021652D" w:rsidRPr="00B415E3" w:rsidRDefault="000634DF">
            <w:pPr>
              <w:spacing w:before="0"/>
              <w:jc w:val="left"/>
            </w:pPr>
            <w:sdt>
              <w:sdtPr>
                <w:tag w:val="goog_rdk_13"/>
                <w:id w:val="383847913"/>
              </w:sdtPr>
              <w:sdtEndPr/>
              <w:sdtContent>
                <w:r w:rsidR="001B2301" w:rsidRPr="00B415E3">
                  <w:rPr>
                    <w:rFonts w:ascii="Cardo" w:eastAsia="Cardo" w:hAnsi="Cardo" w:cs="Cardo"/>
                  </w:rPr>
                  <w:t>UI→PE</w:t>
                </w:r>
              </w:sdtContent>
            </w:sdt>
          </w:p>
        </w:tc>
        <w:tc>
          <w:tcPr>
            <w:tcW w:w="1859" w:type="dxa"/>
            <w:tcBorders>
              <w:left w:val="nil"/>
              <w:right w:val="nil"/>
            </w:tcBorders>
            <w:shd w:val="clear" w:color="auto" w:fill="auto"/>
            <w:vAlign w:val="center"/>
          </w:tcPr>
          <w:p w14:paraId="157E41AC" w14:textId="77777777" w:rsidR="0021652D" w:rsidRPr="00B415E3" w:rsidRDefault="001B2301">
            <w:pPr>
              <w:spacing w:before="0"/>
              <w:jc w:val="right"/>
            </w:pPr>
            <w:r w:rsidRPr="00B415E3">
              <w:t>0.41***</w:t>
            </w:r>
          </w:p>
        </w:tc>
        <w:tc>
          <w:tcPr>
            <w:tcW w:w="1201" w:type="dxa"/>
            <w:tcBorders>
              <w:left w:val="nil"/>
              <w:right w:val="nil"/>
            </w:tcBorders>
            <w:shd w:val="clear" w:color="auto" w:fill="auto"/>
            <w:vAlign w:val="center"/>
          </w:tcPr>
          <w:p w14:paraId="27AA0EF2" w14:textId="77777777" w:rsidR="0021652D" w:rsidRPr="00B415E3" w:rsidRDefault="001B2301">
            <w:pPr>
              <w:spacing w:before="0"/>
              <w:jc w:val="right"/>
            </w:pPr>
            <w:r w:rsidRPr="00B415E3">
              <w:t>1.00</w:t>
            </w:r>
          </w:p>
        </w:tc>
        <w:tc>
          <w:tcPr>
            <w:tcW w:w="2520" w:type="dxa"/>
            <w:tcBorders>
              <w:left w:val="nil"/>
            </w:tcBorders>
          </w:tcPr>
          <w:p w14:paraId="420C1AE1" w14:textId="77777777" w:rsidR="0021652D" w:rsidRPr="00B415E3" w:rsidRDefault="001B2301">
            <w:pPr>
              <w:spacing w:before="0"/>
              <w:jc w:val="center"/>
            </w:pPr>
            <w:r w:rsidRPr="00B415E3">
              <w:t>Supported</w:t>
            </w:r>
          </w:p>
        </w:tc>
      </w:tr>
      <w:tr w:rsidR="00B415E3" w:rsidRPr="00B415E3" w14:paraId="7A14B8C4" w14:textId="77777777">
        <w:trPr>
          <w:trHeight w:val="300"/>
        </w:trPr>
        <w:tc>
          <w:tcPr>
            <w:tcW w:w="786" w:type="dxa"/>
            <w:tcBorders>
              <w:right w:val="nil"/>
            </w:tcBorders>
          </w:tcPr>
          <w:p w14:paraId="124C58B6" w14:textId="77777777" w:rsidR="0021652D" w:rsidRPr="00B415E3" w:rsidRDefault="001B2301">
            <w:pPr>
              <w:spacing w:before="0"/>
              <w:jc w:val="left"/>
            </w:pPr>
            <w:r w:rsidRPr="00B415E3">
              <w:t>H2a</w:t>
            </w:r>
          </w:p>
        </w:tc>
        <w:tc>
          <w:tcPr>
            <w:tcW w:w="1284" w:type="dxa"/>
            <w:tcBorders>
              <w:left w:val="nil"/>
              <w:right w:val="nil"/>
            </w:tcBorders>
            <w:shd w:val="clear" w:color="auto" w:fill="auto"/>
            <w:vAlign w:val="center"/>
          </w:tcPr>
          <w:p w14:paraId="15F4030E" w14:textId="77777777" w:rsidR="0021652D" w:rsidRPr="00B415E3" w:rsidRDefault="000634DF">
            <w:pPr>
              <w:spacing w:before="0"/>
              <w:jc w:val="left"/>
            </w:pPr>
            <w:sdt>
              <w:sdtPr>
                <w:tag w:val="goog_rdk_14"/>
                <w:id w:val="-311569644"/>
              </w:sdtPr>
              <w:sdtEndPr/>
              <w:sdtContent>
                <w:r w:rsidR="001B2301" w:rsidRPr="00B415E3">
                  <w:rPr>
                    <w:rFonts w:ascii="Cardo" w:eastAsia="Cardo" w:hAnsi="Cardo" w:cs="Cardo"/>
                  </w:rPr>
                  <w:t>UC→SE</w:t>
                </w:r>
              </w:sdtContent>
            </w:sdt>
          </w:p>
        </w:tc>
        <w:tc>
          <w:tcPr>
            <w:tcW w:w="1859" w:type="dxa"/>
            <w:tcBorders>
              <w:left w:val="nil"/>
              <w:right w:val="nil"/>
            </w:tcBorders>
            <w:shd w:val="clear" w:color="auto" w:fill="auto"/>
            <w:vAlign w:val="center"/>
          </w:tcPr>
          <w:p w14:paraId="4D25E7C2" w14:textId="77777777" w:rsidR="0021652D" w:rsidRPr="00B415E3" w:rsidRDefault="001B2301">
            <w:pPr>
              <w:spacing w:before="0"/>
              <w:jc w:val="right"/>
            </w:pPr>
            <w:r w:rsidRPr="00B415E3">
              <w:t>-0.28***</w:t>
            </w:r>
          </w:p>
        </w:tc>
        <w:tc>
          <w:tcPr>
            <w:tcW w:w="1201" w:type="dxa"/>
            <w:tcBorders>
              <w:left w:val="nil"/>
              <w:right w:val="nil"/>
            </w:tcBorders>
            <w:shd w:val="clear" w:color="auto" w:fill="auto"/>
            <w:vAlign w:val="center"/>
          </w:tcPr>
          <w:p w14:paraId="4238D5BE" w14:textId="77777777" w:rsidR="0021652D" w:rsidRPr="00B415E3" w:rsidRDefault="001B2301">
            <w:pPr>
              <w:spacing w:before="0"/>
              <w:jc w:val="right"/>
            </w:pPr>
            <w:r w:rsidRPr="00B415E3">
              <w:t>0.98</w:t>
            </w:r>
          </w:p>
        </w:tc>
        <w:tc>
          <w:tcPr>
            <w:tcW w:w="2520" w:type="dxa"/>
            <w:tcBorders>
              <w:left w:val="nil"/>
            </w:tcBorders>
          </w:tcPr>
          <w:p w14:paraId="196CB2D1" w14:textId="77777777" w:rsidR="0021652D" w:rsidRPr="00B415E3" w:rsidRDefault="001B2301">
            <w:pPr>
              <w:spacing w:before="0"/>
              <w:jc w:val="center"/>
            </w:pPr>
            <w:r w:rsidRPr="00B415E3">
              <w:t>Supported</w:t>
            </w:r>
          </w:p>
        </w:tc>
      </w:tr>
      <w:tr w:rsidR="00B415E3" w:rsidRPr="00B415E3" w14:paraId="3AA183FB" w14:textId="77777777">
        <w:trPr>
          <w:trHeight w:val="300"/>
        </w:trPr>
        <w:tc>
          <w:tcPr>
            <w:tcW w:w="786" w:type="dxa"/>
            <w:tcBorders>
              <w:right w:val="nil"/>
            </w:tcBorders>
          </w:tcPr>
          <w:p w14:paraId="080123EE" w14:textId="77777777" w:rsidR="0021652D" w:rsidRPr="00B415E3" w:rsidRDefault="001B2301">
            <w:pPr>
              <w:spacing w:before="0"/>
              <w:jc w:val="left"/>
            </w:pPr>
            <w:r w:rsidRPr="00B415E3">
              <w:t>H2b</w:t>
            </w:r>
          </w:p>
        </w:tc>
        <w:tc>
          <w:tcPr>
            <w:tcW w:w="1284" w:type="dxa"/>
            <w:tcBorders>
              <w:left w:val="nil"/>
              <w:right w:val="nil"/>
            </w:tcBorders>
            <w:shd w:val="clear" w:color="auto" w:fill="auto"/>
            <w:vAlign w:val="center"/>
          </w:tcPr>
          <w:p w14:paraId="2ECC0427" w14:textId="77777777" w:rsidR="0021652D" w:rsidRPr="00B415E3" w:rsidRDefault="000634DF">
            <w:pPr>
              <w:spacing w:before="0"/>
              <w:jc w:val="left"/>
            </w:pPr>
            <w:sdt>
              <w:sdtPr>
                <w:tag w:val="goog_rdk_15"/>
                <w:id w:val="-67119205"/>
              </w:sdtPr>
              <w:sdtEndPr/>
              <w:sdtContent>
                <w:r w:rsidR="001B2301" w:rsidRPr="00B415E3">
                  <w:rPr>
                    <w:rFonts w:ascii="Cardo" w:eastAsia="Cardo" w:hAnsi="Cardo" w:cs="Cardo"/>
                  </w:rPr>
                  <w:t>UC→PE</w:t>
                </w:r>
              </w:sdtContent>
            </w:sdt>
          </w:p>
        </w:tc>
        <w:tc>
          <w:tcPr>
            <w:tcW w:w="1859" w:type="dxa"/>
            <w:tcBorders>
              <w:left w:val="nil"/>
              <w:right w:val="nil"/>
            </w:tcBorders>
            <w:shd w:val="clear" w:color="auto" w:fill="auto"/>
            <w:vAlign w:val="center"/>
          </w:tcPr>
          <w:p w14:paraId="63C829D4" w14:textId="77777777" w:rsidR="0021652D" w:rsidRPr="00B415E3" w:rsidRDefault="001B2301">
            <w:pPr>
              <w:spacing w:before="0"/>
              <w:jc w:val="right"/>
            </w:pPr>
            <w:r w:rsidRPr="00B415E3">
              <w:t>-0.00</w:t>
            </w:r>
          </w:p>
        </w:tc>
        <w:tc>
          <w:tcPr>
            <w:tcW w:w="1201" w:type="dxa"/>
            <w:tcBorders>
              <w:left w:val="nil"/>
              <w:right w:val="nil"/>
            </w:tcBorders>
            <w:shd w:val="clear" w:color="auto" w:fill="auto"/>
            <w:vAlign w:val="center"/>
          </w:tcPr>
          <w:p w14:paraId="10F985CE" w14:textId="77777777" w:rsidR="0021652D" w:rsidRPr="00B415E3" w:rsidRDefault="001B2301">
            <w:pPr>
              <w:spacing w:before="0"/>
              <w:jc w:val="right"/>
            </w:pPr>
            <w:r w:rsidRPr="00B415E3">
              <w:t>-</w:t>
            </w:r>
          </w:p>
        </w:tc>
        <w:tc>
          <w:tcPr>
            <w:tcW w:w="2520" w:type="dxa"/>
            <w:tcBorders>
              <w:left w:val="nil"/>
            </w:tcBorders>
          </w:tcPr>
          <w:p w14:paraId="4F8EF6DE" w14:textId="77777777" w:rsidR="0021652D" w:rsidRPr="00B415E3" w:rsidRDefault="001B2301">
            <w:pPr>
              <w:spacing w:before="0"/>
              <w:jc w:val="center"/>
            </w:pPr>
            <w:r w:rsidRPr="00B415E3">
              <w:t>Not supported</w:t>
            </w:r>
          </w:p>
        </w:tc>
      </w:tr>
      <w:tr w:rsidR="00B415E3" w:rsidRPr="00B415E3" w14:paraId="77C9CFE5" w14:textId="77777777">
        <w:trPr>
          <w:trHeight w:val="300"/>
        </w:trPr>
        <w:tc>
          <w:tcPr>
            <w:tcW w:w="786" w:type="dxa"/>
            <w:tcBorders>
              <w:right w:val="nil"/>
            </w:tcBorders>
          </w:tcPr>
          <w:p w14:paraId="61510C26" w14:textId="77777777" w:rsidR="0021652D" w:rsidRPr="00B415E3" w:rsidRDefault="001B2301">
            <w:pPr>
              <w:spacing w:before="0"/>
              <w:jc w:val="left"/>
            </w:pPr>
            <w:r w:rsidRPr="00B415E3">
              <w:t>H3a</w:t>
            </w:r>
          </w:p>
        </w:tc>
        <w:tc>
          <w:tcPr>
            <w:tcW w:w="1284" w:type="dxa"/>
            <w:tcBorders>
              <w:left w:val="nil"/>
              <w:right w:val="nil"/>
            </w:tcBorders>
            <w:shd w:val="clear" w:color="auto" w:fill="auto"/>
            <w:vAlign w:val="center"/>
          </w:tcPr>
          <w:p w14:paraId="7D4BF115" w14:textId="77777777" w:rsidR="0021652D" w:rsidRPr="00B415E3" w:rsidRDefault="000634DF">
            <w:pPr>
              <w:spacing w:before="0"/>
              <w:jc w:val="left"/>
            </w:pPr>
            <w:sdt>
              <w:sdtPr>
                <w:tag w:val="goog_rdk_16"/>
                <w:id w:val="-895431472"/>
              </w:sdtPr>
              <w:sdtEndPr/>
              <w:sdtContent>
                <w:r w:rsidR="001B2301" w:rsidRPr="00B415E3">
                  <w:rPr>
                    <w:rFonts w:ascii="Cardo" w:eastAsia="Cardo" w:hAnsi="Cardo" w:cs="Cardo"/>
                  </w:rPr>
                  <w:t>DI→SE</w:t>
                </w:r>
              </w:sdtContent>
            </w:sdt>
          </w:p>
        </w:tc>
        <w:tc>
          <w:tcPr>
            <w:tcW w:w="1859" w:type="dxa"/>
            <w:tcBorders>
              <w:left w:val="nil"/>
              <w:right w:val="nil"/>
            </w:tcBorders>
            <w:shd w:val="clear" w:color="auto" w:fill="auto"/>
            <w:vAlign w:val="center"/>
          </w:tcPr>
          <w:p w14:paraId="656CA651" w14:textId="77777777" w:rsidR="0021652D" w:rsidRPr="00B415E3" w:rsidRDefault="001B2301">
            <w:pPr>
              <w:spacing w:before="0"/>
              <w:jc w:val="right"/>
            </w:pPr>
            <w:r w:rsidRPr="00B415E3">
              <w:t>-0.04</w:t>
            </w:r>
          </w:p>
        </w:tc>
        <w:tc>
          <w:tcPr>
            <w:tcW w:w="1201" w:type="dxa"/>
            <w:tcBorders>
              <w:left w:val="nil"/>
              <w:right w:val="nil"/>
            </w:tcBorders>
            <w:shd w:val="clear" w:color="auto" w:fill="auto"/>
            <w:vAlign w:val="center"/>
          </w:tcPr>
          <w:p w14:paraId="14355CA7" w14:textId="77777777" w:rsidR="0021652D" w:rsidRPr="00B415E3" w:rsidRDefault="001B2301">
            <w:pPr>
              <w:spacing w:before="0"/>
              <w:jc w:val="right"/>
            </w:pPr>
            <w:r w:rsidRPr="00B415E3">
              <w:t>-</w:t>
            </w:r>
          </w:p>
        </w:tc>
        <w:tc>
          <w:tcPr>
            <w:tcW w:w="2520" w:type="dxa"/>
            <w:tcBorders>
              <w:left w:val="nil"/>
            </w:tcBorders>
          </w:tcPr>
          <w:p w14:paraId="5E30235F" w14:textId="77777777" w:rsidR="0021652D" w:rsidRPr="00B415E3" w:rsidRDefault="001B2301">
            <w:pPr>
              <w:spacing w:before="0"/>
              <w:jc w:val="center"/>
            </w:pPr>
            <w:r w:rsidRPr="00B415E3">
              <w:t>Not supported</w:t>
            </w:r>
          </w:p>
        </w:tc>
      </w:tr>
      <w:tr w:rsidR="00B415E3" w:rsidRPr="00B415E3" w14:paraId="72718F11" w14:textId="77777777">
        <w:trPr>
          <w:trHeight w:val="300"/>
        </w:trPr>
        <w:tc>
          <w:tcPr>
            <w:tcW w:w="786" w:type="dxa"/>
            <w:tcBorders>
              <w:right w:val="nil"/>
            </w:tcBorders>
          </w:tcPr>
          <w:p w14:paraId="143982F9" w14:textId="77777777" w:rsidR="0021652D" w:rsidRPr="00B415E3" w:rsidRDefault="001B2301">
            <w:pPr>
              <w:spacing w:before="0"/>
              <w:jc w:val="left"/>
            </w:pPr>
            <w:r w:rsidRPr="00B415E3">
              <w:t>H3b</w:t>
            </w:r>
          </w:p>
        </w:tc>
        <w:tc>
          <w:tcPr>
            <w:tcW w:w="1284" w:type="dxa"/>
            <w:tcBorders>
              <w:left w:val="nil"/>
              <w:right w:val="nil"/>
            </w:tcBorders>
            <w:shd w:val="clear" w:color="auto" w:fill="auto"/>
            <w:vAlign w:val="center"/>
          </w:tcPr>
          <w:p w14:paraId="7D624AD1" w14:textId="77777777" w:rsidR="0021652D" w:rsidRPr="00B415E3" w:rsidRDefault="000634DF">
            <w:pPr>
              <w:spacing w:before="0"/>
              <w:jc w:val="left"/>
            </w:pPr>
            <w:sdt>
              <w:sdtPr>
                <w:tag w:val="goog_rdk_17"/>
                <w:id w:val="-1666543676"/>
              </w:sdtPr>
              <w:sdtEndPr/>
              <w:sdtContent>
                <w:r w:rsidR="001B2301" w:rsidRPr="00B415E3">
                  <w:rPr>
                    <w:rFonts w:ascii="Cardo" w:eastAsia="Cardo" w:hAnsi="Cardo" w:cs="Cardo"/>
                  </w:rPr>
                  <w:t>DI→PE</w:t>
                </w:r>
              </w:sdtContent>
            </w:sdt>
          </w:p>
        </w:tc>
        <w:tc>
          <w:tcPr>
            <w:tcW w:w="1859" w:type="dxa"/>
            <w:tcBorders>
              <w:left w:val="nil"/>
              <w:right w:val="nil"/>
            </w:tcBorders>
            <w:shd w:val="clear" w:color="auto" w:fill="auto"/>
            <w:vAlign w:val="center"/>
          </w:tcPr>
          <w:p w14:paraId="3EDD3541" w14:textId="77777777" w:rsidR="0021652D" w:rsidRPr="00B415E3" w:rsidRDefault="001B2301">
            <w:pPr>
              <w:spacing w:before="0"/>
              <w:jc w:val="right"/>
            </w:pPr>
            <w:r w:rsidRPr="00B415E3">
              <w:t>-0.23***</w:t>
            </w:r>
          </w:p>
        </w:tc>
        <w:tc>
          <w:tcPr>
            <w:tcW w:w="1201" w:type="dxa"/>
            <w:tcBorders>
              <w:left w:val="nil"/>
              <w:right w:val="nil"/>
            </w:tcBorders>
            <w:shd w:val="clear" w:color="auto" w:fill="auto"/>
            <w:vAlign w:val="center"/>
          </w:tcPr>
          <w:p w14:paraId="4750C5DF" w14:textId="77777777" w:rsidR="0021652D" w:rsidRPr="00B415E3" w:rsidRDefault="001B2301">
            <w:pPr>
              <w:spacing w:before="0"/>
              <w:jc w:val="right"/>
            </w:pPr>
            <w:r w:rsidRPr="00B415E3">
              <w:t>0.99</w:t>
            </w:r>
          </w:p>
        </w:tc>
        <w:tc>
          <w:tcPr>
            <w:tcW w:w="2520" w:type="dxa"/>
            <w:tcBorders>
              <w:left w:val="nil"/>
            </w:tcBorders>
          </w:tcPr>
          <w:p w14:paraId="00C3CBE4" w14:textId="77777777" w:rsidR="0021652D" w:rsidRPr="00B415E3" w:rsidRDefault="001B2301">
            <w:pPr>
              <w:spacing w:before="0"/>
              <w:jc w:val="center"/>
            </w:pPr>
            <w:r w:rsidRPr="00B415E3">
              <w:t>Supported</w:t>
            </w:r>
          </w:p>
        </w:tc>
      </w:tr>
      <w:tr w:rsidR="00B415E3" w:rsidRPr="00B415E3" w14:paraId="2D9BB658" w14:textId="77777777">
        <w:trPr>
          <w:trHeight w:val="300"/>
        </w:trPr>
        <w:tc>
          <w:tcPr>
            <w:tcW w:w="786" w:type="dxa"/>
            <w:tcBorders>
              <w:right w:val="nil"/>
            </w:tcBorders>
          </w:tcPr>
          <w:p w14:paraId="098A6396" w14:textId="77777777" w:rsidR="0021652D" w:rsidRPr="00B415E3" w:rsidRDefault="001B2301">
            <w:pPr>
              <w:spacing w:before="0"/>
              <w:jc w:val="left"/>
            </w:pPr>
            <w:r w:rsidRPr="00B415E3">
              <w:t>H4a</w:t>
            </w:r>
          </w:p>
        </w:tc>
        <w:tc>
          <w:tcPr>
            <w:tcW w:w="1284" w:type="dxa"/>
            <w:tcBorders>
              <w:left w:val="nil"/>
              <w:right w:val="nil"/>
            </w:tcBorders>
            <w:shd w:val="clear" w:color="auto" w:fill="auto"/>
            <w:vAlign w:val="center"/>
          </w:tcPr>
          <w:p w14:paraId="1D1B196E" w14:textId="77777777" w:rsidR="0021652D" w:rsidRPr="00B415E3" w:rsidRDefault="000634DF">
            <w:pPr>
              <w:spacing w:before="0"/>
              <w:jc w:val="left"/>
            </w:pPr>
            <w:sdt>
              <w:sdtPr>
                <w:tag w:val="goog_rdk_18"/>
                <w:id w:val="-1595310632"/>
              </w:sdtPr>
              <w:sdtEndPr/>
              <w:sdtContent>
                <w:r w:rsidR="001B2301" w:rsidRPr="00B415E3">
                  <w:rPr>
                    <w:rFonts w:ascii="Cardo" w:eastAsia="Cardo" w:hAnsi="Cardo" w:cs="Cardo"/>
                  </w:rPr>
                  <w:t>DC→SE</w:t>
                </w:r>
              </w:sdtContent>
            </w:sdt>
          </w:p>
        </w:tc>
        <w:tc>
          <w:tcPr>
            <w:tcW w:w="1859" w:type="dxa"/>
            <w:tcBorders>
              <w:left w:val="nil"/>
              <w:right w:val="nil"/>
            </w:tcBorders>
            <w:shd w:val="clear" w:color="auto" w:fill="auto"/>
            <w:vAlign w:val="center"/>
          </w:tcPr>
          <w:p w14:paraId="33AB63AF" w14:textId="77777777" w:rsidR="0021652D" w:rsidRPr="00B415E3" w:rsidRDefault="001B2301">
            <w:pPr>
              <w:spacing w:before="0"/>
              <w:jc w:val="right"/>
            </w:pPr>
            <w:r w:rsidRPr="00B415E3">
              <w:t>0.36***</w:t>
            </w:r>
          </w:p>
        </w:tc>
        <w:tc>
          <w:tcPr>
            <w:tcW w:w="1201" w:type="dxa"/>
            <w:tcBorders>
              <w:left w:val="nil"/>
              <w:right w:val="nil"/>
            </w:tcBorders>
            <w:shd w:val="clear" w:color="auto" w:fill="auto"/>
            <w:vAlign w:val="center"/>
          </w:tcPr>
          <w:p w14:paraId="511BF86E" w14:textId="77777777" w:rsidR="0021652D" w:rsidRPr="00B415E3" w:rsidRDefault="001B2301">
            <w:pPr>
              <w:spacing w:before="0"/>
              <w:jc w:val="right"/>
            </w:pPr>
            <w:r w:rsidRPr="00B415E3">
              <w:t>0.99</w:t>
            </w:r>
          </w:p>
        </w:tc>
        <w:tc>
          <w:tcPr>
            <w:tcW w:w="2520" w:type="dxa"/>
            <w:tcBorders>
              <w:left w:val="nil"/>
            </w:tcBorders>
          </w:tcPr>
          <w:p w14:paraId="39167538" w14:textId="77777777" w:rsidR="0021652D" w:rsidRPr="00B415E3" w:rsidRDefault="001B2301">
            <w:pPr>
              <w:spacing w:before="0"/>
              <w:jc w:val="center"/>
            </w:pPr>
            <w:r w:rsidRPr="00B415E3">
              <w:t>Supported</w:t>
            </w:r>
          </w:p>
        </w:tc>
      </w:tr>
      <w:tr w:rsidR="00B415E3" w:rsidRPr="00B415E3" w14:paraId="3739519C" w14:textId="77777777">
        <w:trPr>
          <w:trHeight w:val="300"/>
        </w:trPr>
        <w:tc>
          <w:tcPr>
            <w:tcW w:w="786" w:type="dxa"/>
            <w:tcBorders>
              <w:right w:val="nil"/>
            </w:tcBorders>
          </w:tcPr>
          <w:p w14:paraId="49AF0F02" w14:textId="77777777" w:rsidR="0021652D" w:rsidRPr="00B415E3" w:rsidRDefault="001B2301">
            <w:pPr>
              <w:spacing w:before="0"/>
              <w:jc w:val="left"/>
            </w:pPr>
            <w:r w:rsidRPr="00B415E3">
              <w:t>H4b</w:t>
            </w:r>
          </w:p>
        </w:tc>
        <w:tc>
          <w:tcPr>
            <w:tcW w:w="1284" w:type="dxa"/>
            <w:tcBorders>
              <w:left w:val="nil"/>
              <w:right w:val="nil"/>
            </w:tcBorders>
            <w:shd w:val="clear" w:color="auto" w:fill="auto"/>
            <w:vAlign w:val="center"/>
          </w:tcPr>
          <w:p w14:paraId="5BDF8CAD" w14:textId="77777777" w:rsidR="0021652D" w:rsidRPr="00B415E3" w:rsidRDefault="000634DF">
            <w:pPr>
              <w:spacing w:before="0"/>
              <w:jc w:val="left"/>
            </w:pPr>
            <w:sdt>
              <w:sdtPr>
                <w:tag w:val="goog_rdk_19"/>
                <w:id w:val="720173074"/>
              </w:sdtPr>
              <w:sdtEndPr/>
              <w:sdtContent>
                <w:r w:rsidR="001B2301" w:rsidRPr="00B415E3">
                  <w:rPr>
                    <w:rFonts w:ascii="Cardo" w:eastAsia="Cardo" w:hAnsi="Cardo" w:cs="Cardo"/>
                  </w:rPr>
                  <w:t>DC→PE</w:t>
                </w:r>
              </w:sdtContent>
            </w:sdt>
          </w:p>
        </w:tc>
        <w:tc>
          <w:tcPr>
            <w:tcW w:w="1859" w:type="dxa"/>
            <w:tcBorders>
              <w:left w:val="nil"/>
              <w:right w:val="nil"/>
            </w:tcBorders>
            <w:shd w:val="clear" w:color="auto" w:fill="auto"/>
            <w:vAlign w:val="center"/>
          </w:tcPr>
          <w:p w14:paraId="2A24B798" w14:textId="77777777" w:rsidR="0021652D" w:rsidRPr="00B415E3" w:rsidRDefault="001B2301">
            <w:pPr>
              <w:spacing w:before="0"/>
              <w:jc w:val="right"/>
            </w:pPr>
            <w:r w:rsidRPr="00B415E3">
              <w:t>0.24***</w:t>
            </w:r>
          </w:p>
        </w:tc>
        <w:tc>
          <w:tcPr>
            <w:tcW w:w="1201" w:type="dxa"/>
            <w:tcBorders>
              <w:left w:val="nil"/>
              <w:right w:val="nil"/>
            </w:tcBorders>
            <w:shd w:val="clear" w:color="auto" w:fill="auto"/>
            <w:vAlign w:val="center"/>
          </w:tcPr>
          <w:p w14:paraId="5DA40787" w14:textId="77777777" w:rsidR="0021652D" w:rsidRPr="00B415E3" w:rsidRDefault="001B2301">
            <w:pPr>
              <w:spacing w:before="0"/>
              <w:jc w:val="right"/>
            </w:pPr>
            <w:r w:rsidRPr="00B415E3">
              <w:t>0.97</w:t>
            </w:r>
          </w:p>
        </w:tc>
        <w:tc>
          <w:tcPr>
            <w:tcW w:w="2520" w:type="dxa"/>
            <w:tcBorders>
              <w:left w:val="nil"/>
            </w:tcBorders>
          </w:tcPr>
          <w:p w14:paraId="78C1A08E" w14:textId="77777777" w:rsidR="0021652D" w:rsidRPr="00B415E3" w:rsidRDefault="001B2301">
            <w:pPr>
              <w:spacing w:before="0"/>
              <w:jc w:val="center"/>
            </w:pPr>
            <w:r w:rsidRPr="00B415E3">
              <w:t>Supported</w:t>
            </w:r>
          </w:p>
        </w:tc>
      </w:tr>
      <w:tr w:rsidR="00B415E3" w:rsidRPr="00B415E3" w14:paraId="7F62CA0C" w14:textId="77777777">
        <w:trPr>
          <w:trHeight w:val="300"/>
        </w:trPr>
        <w:tc>
          <w:tcPr>
            <w:tcW w:w="786" w:type="dxa"/>
            <w:tcBorders>
              <w:right w:val="nil"/>
            </w:tcBorders>
          </w:tcPr>
          <w:p w14:paraId="2CFCA869" w14:textId="77777777" w:rsidR="0021652D" w:rsidRPr="00B415E3" w:rsidRDefault="001B2301">
            <w:pPr>
              <w:spacing w:before="0"/>
              <w:jc w:val="left"/>
            </w:pPr>
            <w:r w:rsidRPr="00B415E3">
              <w:t>H5a</w:t>
            </w:r>
          </w:p>
        </w:tc>
        <w:tc>
          <w:tcPr>
            <w:tcW w:w="1284" w:type="dxa"/>
            <w:tcBorders>
              <w:left w:val="nil"/>
              <w:right w:val="nil"/>
            </w:tcBorders>
            <w:shd w:val="clear" w:color="auto" w:fill="auto"/>
            <w:vAlign w:val="center"/>
          </w:tcPr>
          <w:p w14:paraId="73D59CB5" w14:textId="77777777" w:rsidR="0021652D" w:rsidRPr="00B415E3" w:rsidRDefault="000634DF">
            <w:pPr>
              <w:spacing w:before="0"/>
              <w:jc w:val="left"/>
            </w:pPr>
            <w:sdt>
              <w:sdtPr>
                <w:tag w:val="goog_rdk_20"/>
                <w:id w:val="737835046"/>
              </w:sdtPr>
              <w:sdtEndPr/>
              <w:sdtContent>
                <w:r w:rsidR="001B2301" w:rsidRPr="00B415E3">
                  <w:rPr>
                    <w:rFonts w:ascii="Cardo" w:eastAsia="Cardo" w:hAnsi="Cardo" w:cs="Cardo"/>
                  </w:rPr>
                  <w:t>SE→PE</w:t>
                </w:r>
              </w:sdtContent>
            </w:sdt>
          </w:p>
        </w:tc>
        <w:tc>
          <w:tcPr>
            <w:tcW w:w="1859" w:type="dxa"/>
            <w:tcBorders>
              <w:left w:val="nil"/>
              <w:right w:val="nil"/>
            </w:tcBorders>
            <w:shd w:val="clear" w:color="auto" w:fill="auto"/>
            <w:vAlign w:val="center"/>
          </w:tcPr>
          <w:p w14:paraId="64E9C06A" w14:textId="77777777" w:rsidR="0021652D" w:rsidRPr="00B415E3" w:rsidRDefault="001B2301">
            <w:pPr>
              <w:spacing w:before="0"/>
              <w:jc w:val="right"/>
            </w:pPr>
            <w:r w:rsidRPr="00B415E3">
              <w:t>0.21***</w:t>
            </w:r>
          </w:p>
        </w:tc>
        <w:tc>
          <w:tcPr>
            <w:tcW w:w="1201" w:type="dxa"/>
            <w:tcBorders>
              <w:left w:val="nil"/>
              <w:right w:val="nil"/>
            </w:tcBorders>
            <w:shd w:val="clear" w:color="auto" w:fill="auto"/>
            <w:vAlign w:val="center"/>
          </w:tcPr>
          <w:p w14:paraId="76879BAA" w14:textId="77777777" w:rsidR="0021652D" w:rsidRPr="00B415E3" w:rsidRDefault="001B2301">
            <w:pPr>
              <w:spacing w:before="0"/>
              <w:jc w:val="right"/>
            </w:pPr>
            <w:r w:rsidRPr="00B415E3">
              <w:t>0.83</w:t>
            </w:r>
          </w:p>
        </w:tc>
        <w:tc>
          <w:tcPr>
            <w:tcW w:w="2520" w:type="dxa"/>
            <w:tcBorders>
              <w:left w:val="nil"/>
            </w:tcBorders>
          </w:tcPr>
          <w:p w14:paraId="4B6BBDF2" w14:textId="77777777" w:rsidR="0021652D" w:rsidRPr="00B415E3" w:rsidRDefault="001B2301">
            <w:pPr>
              <w:spacing w:before="0"/>
              <w:jc w:val="center"/>
            </w:pPr>
            <w:r w:rsidRPr="00B415E3">
              <w:t>Supported</w:t>
            </w:r>
          </w:p>
        </w:tc>
      </w:tr>
      <w:tr w:rsidR="00B415E3" w:rsidRPr="00B415E3" w14:paraId="210FD680" w14:textId="77777777">
        <w:trPr>
          <w:trHeight w:val="300"/>
        </w:trPr>
        <w:tc>
          <w:tcPr>
            <w:tcW w:w="786" w:type="dxa"/>
            <w:tcBorders>
              <w:right w:val="nil"/>
            </w:tcBorders>
          </w:tcPr>
          <w:p w14:paraId="0BEE2619" w14:textId="77777777" w:rsidR="0021652D" w:rsidRPr="00B415E3" w:rsidRDefault="001B2301">
            <w:pPr>
              <w:spacing w:before="0"/>
              <w:jc w:val="left"/>
            </w:pPr>
            <w:r w:rsidRPr="00B415E3">
              <w:t>H5b</w:t>
            </w:r>
          </w:p>
        </w:tc>
        <w:tc>
          <w:tcPr>
            <w:tcW w:w="1284" w:type="dxa"/>
            <w:tcBorders>
              <w:left w:val="nil"/>
              <w:right w:val="nil"/>
            </w:tcBorders>
            <w:shd w:val="clear" w:color="auto" w:fill="auto"/>
            <w:vAlign w:val="center"/>
          </w:tcPr>
          <w:p w14:paraId="4A384ABF" w14:textId="77777777" w:rsidR="0021652D" w:rsidRPr="00B415E3" w:rsidRDefault="000634DF">
            <w:pPr>
              <w:spacing w:before="0"/>
              <w:jc w:val="left"/>
            </w:pPr>
            <w:sdt>
              <w:sdtPr>
                <w:tag w:val="goog_rdk_21"/>
                <w:id w:val="-1638176061"/>
              </w:sdtPr>
              <w:sdtEndPr/>
              <w:sdtContent>
                <w:r w:rsidR="001B2301" w:rsidRPr="00B415E3">
                  <w:rPr>
                    <w:rFonts w:ascii="Cardo" w:eastAsia="Cardo" w:hAnsi="Cardo" w:cs="Cardo"/>
                  </w:rPr>
                  <w:t>SE→CI</w:t>
                </w:r>
              </w:sdtContent>
            </w:sdt>
          </w:p>
        </w:tc>
        <w:tc>
          <w:tcPr>
            <w:tcW w:w="1859" w:type="dxa"/>
            <w:tcBorders>
              <w:left w:val="nil"/>
              <w:right w:val="nil"/>
            </w:tcBorders>
            <w:shd w:val="clear" w:color="auto" w:fill="auto"/>
            <w:vAlign w:val="center"/>
          </w:tcPr>
          <w:p w14:paraId="6C986E08" w14:textId="77777777" w:rsidR="0021652D" w:rsidRPr="00B415E3" w:rsidRDefault="001B2301">
            <w:pPr>
              <w:spacing w:before="0"/>
              <w:jc w:val="right"/>
            </w:pPr>
            <w:r w:rsidRPr="00B415E3">
              <w:t>0.31***</w:t>
            </w:r>
          </w:p>
        </w:tc>
        <w:tc>
          <w:tcPr>
            <w:tcW w:w="1201" w:type="dxa"/>
            <w:tcBorders>
              <w:left w:val="nil"/>
              <w:right w:val="nil"/>
            </w:tcBorders>
            <w:shd w:val="clear" w:color="auto" w:fill="auto"/>
            <w:vAlign w:val="center"/>
          </w:tcPr>
          <w:p w14:paraId="2EC21148" w14:textId="77777777" w:rsidR="0021652D" w:rsidRPr="00B415E3" w:rsidRDefault="001B2301">
            <w:pPr>
              <w:spacing w:before="0"/>
              <w:jc w:val="right"/>
            </w:pPr>
            <w:r w:rsidRPr="00B415E3">
              <w:t>0.92</w:t>
            </w:r>
          </w:p>
        </w:tc>
        <w:tc>
          <w:tcPr>
            <w:tcW w:w="2520" w:type="dxa"/>
            <w:tcBorders>
              <w:left w:val="nil"/>
            </w:tcBorders>
          </w:tcPr>
          <w:p w14:paraId="661DD20B" w14:textId="77777777" w:rsidR="0021652D" w:rsidRPr="00B415E3" w:rsidRDefault="001B2301">
            <w:pPr>
              <w:spacing w:before="0"/>
              <w:jc w:val="center"/>
            </w:pPr>
            <w:r w:rsidRPr="00B415E3">
              <w:t>Supported</w:t>
            </w:r>
          </w:p>
        </w:tc>
      </w:tr>
      <w:tr w:rsidR="00B415E3" w:rsidRPr="00B415E3" w14:paraId="65D518A7" w14:textId="77777777">
        <w:trPr>
          <w:trHeight w:val="300"/>
        </w:trPr>
        <w:tc>
          <w:tcPr>
            <w:tcW w:w="786" w:type="dxa"/>
            <w:tcBorders>
              <w:bottom w:val="nil"/>
              <w:right w:val="nil"/>
            </w:tcBorders>
          </w:tcPr>
          <w:p w14:paraId="77A4B28E" w14:textId="77777777" w:rsidR="0021652D" w:rsidRPr="00B415E3" w:rsidRDefault="001B2301">
            <w:pPr>
              <w:spacing w:before="0"/>
              <w:jc w:val="left"/>
            </w:pPr>
            <w:r w:rsidRPr="00B415E3">
              <w:t>H6</w:t>
            </w:r>
          </w:p>
        </w:tc>
        <w:tc>
          <w:tcPr>
            <w:tcW w:w="1284" w:type="dxa"/>
            <w:tcBorders>
              <w:left w:val="nil"/>
              <w:bottom w:val="nil"/>
              <w:right w:val="nil"/>
            </w:tcBorders>
            <w:shd w:val="clear" w:color="auto" w:fill="auto"/>
            <w:vAlign w:val="center"/>
          </w:tcPr>
          <w:p w14:paraId="0462EB6C" w14:textId="77777777" w:rsidR="0021652D" w:rsidRPr="00B415E3" w:rsidRDefault="000634DF">
            <w:pPr>
              <w:spacing w:before="0"/>
              <w:jc w:val="left"/>
            </w:pPr>
            <w:sdt>
              <w:sdtPr>
                <w:tag w:val="goog_rdk_22"/>
                <w:id w:val="635770457"/>
              </w:sdtPr>
              <w:sdtEndPr/>
              <w:sdtContent>
                <w:r w:rsidR="001B2301" w:rsidRPr="00B415E3">
                  <w:rPr>
                    <w:rFonts w:ascii="Cardo" w:eastAsia="Cardo" w:hAnsi="Cardo" w:cs="Cardo"/>
                  </w:rPr>
                  <w:t>PE→CI</w:t>
                </w:r>
              </w:sdtContent>
            </w:sdt>
          </w:p>
        </w:tc>
        <w:tc>
          <w:tcPr>
            <w:tcW w:w="1859" w:type="dxa"/>
            <w:tcBorders>
              <w:left w:val="nil"/>
              <w:bottom w:val="nil"/>
              <w:right w:val="nil"/>
            </w:tcBorders>
            <w:shd w:val="clear" w:color="auto" w:fill="auto"/>
            <w:vAlign w:val="center"/>
          </w:tcPr>
          <w:p w14:paraId="61EE4F32" w14:textId="77777777" w:rsidR="0021652D" w:rsidRPr="00B415E3" w:rsidRDefault="001B2301">
            <w:pPr>
              <w:spacing w:before="0"/>
              <w:jc w:val="right"/>
            </w:pPr>
            <w:r w:rsidRPr="00B415E3">
              <w:t>0.49***</w:t>
            </w:r>
          </w:p>
        </w:tc>
        <w:tc>
          <w:tcPr>
            <w:tcW w:w="1201" w:type="dxa"/>
            <w:tcBorders>
              <w:left w:val="nil"/>
              <w:bottom w:val="nil"/>
              <w:right w:val="nil"/>
            </w:tcBorders>
            <w:shd w:val="clear" w:color="auto" w:fill="auto"/>
            <w:vAlign w:val="center"/>
          </w:tcPr>
          <w:p w14:paraId="0E611D84" w14:textId="77777777" w:rsidR="0021652D" w:rsidRPr="00B415E3" w:rsidRDefault="001B2301">
            <w:pPr>
              <w:spacing w:before="0"/>
              <w:jc w:val="right"/>
            </w:pPr>
            <w:r w:rsidRPr="00B415E3">
              <w:t>1.00</w:t>
            </w:r>
          </w:p>
        </w:tc>
        <w:tc>
          <w:tcPr>
            <w:tcW w:w="2520" w:type="dxa"/>
            <w:tcBorders>
              <w:left w:val="nil"/>
              <w:bottom w:val="nil"/>
            </w:tcBorders>
          </w:tcPr>
          <w:p w14:paraId="3EB5F718" w14:textId="77777777" w:rsidR="0021652D" w:rsidRPr="00B415E3" w:rsidRDefault="001B2301">
            <w:pPr>
              <w:spacing w:before="0"/>
              <w:jc w:val="center"/>
            </w:pPr>
            <w:r w:rsidRPr="00B415E3">
              <w:t>Supported</w:t>
            </w:r>
          </w:p>
        </w:tc>
      </w:tr>
      <w:tr w:rsidR="00B415E3" w:rsidRPr="00B415E3" w14:paraId="4E56401E" w14:textId="77777777">
        <w:trPr>
          <w:trHeight w:val="40"/>
        </w:trPr>
        <w:tc>
          <w:tcPr>
            <w:tcW w:w="786" w:type="dxa"/>
            <w:tcBorders>
              <w:bottom w:val="single" w:sz="4" w:space="0" w:color="000000"/>
              <w:right w:val="nil"/>
            </w:tcBorders>
          </w:tcPr>
          <w:p w14:paraId="3B1F9CB4" w14:textId="77777777" w:rsidR="0021652D" w:rsidRPr="00B415E3" w:rsidRDefault="001B2301">
            <w:pPr>
              <w:spacing w:before="0"/>
              <w:jc w:val="left"/>
            </w:pPr>
            <w:r w:rsidRPr="00B415E3">
              <w:t>H7</w:t>
            </w:r>
          </w:p>
        </w:tc>
        <w:tc>
          <w:tcPr>
            <w:tcW w:w="1284" w:type="dxa"/>
            <w:tcBorders>
              <w:left w:val="nil"/>
              <w:bottom w:val="single" w:sz="4" w:space="0" w:color="000000"/>
              <w:right w:val="nil"/>
            </w:tcBorders>
            <w:shd w:val="clear" w:color="auto" w:fill="auto"/>
            <w:vAlign w:val="center"/>
          </w:tcPr>
          <w:p w14:paraId="46CB7DA8" w14:textId="77777777" w:rsidR="0021652D" w:rsidRPr="00B415E3" w:rsidRDefault="000634DF">
            <w:pPr>
              <w:spacing w:before="0"/>
              <w:jc w:val="left"/>
            </w:pPr>
            <w:sdt>
              <w:sdtPr>
                <w:tag w:val="goog_rdk_23"/>
                <w:id w:val="-1309001529"/>
              </w:sdtPr>
              <w:sdtEndPr/>
              <w:sdtContent>
                <w:r w:rsidR="001B2301" w:rsidRPr="00B415E3">
                  <w:rPr>
                    <w:rFonts w:ascii="Cardo" w:eastAsia="Cardo" w:hAnsi="Cardo" w:cs="Cardo"/>
                  </w:rPr>
                  <w:t>CI→T1</w:t>
                </w:r>
              </w:sdtContent>
            </w:sdt>
          </w:p>
        </w:tc>
        <w:tc>
          <w:tcPr>
            <w:tcW w:w="1859" w:type="dxa"/>
            <w:tcBorders>
              <w:left w:val="nil"/>
              <w:bottom w:val="single" w:sz="4" w:space="0" w:color="000000"/>
              <w:right w:val="nil"/>
            </w:tcBorders>
            <w:shd w:val="clear" w:color="auto" w:fill="auto"/>
            <w:vAlign w:val="center"/>
          </w:tcPr>
          <w:p w14:paraId="07A06ED3" w14:textId="77777777" w:rsidR="0021652D" w:rsidRPr="00B415E3" w:rsidRDefault="001B2301">
            <w:pPr>
              <w:spacing w:before="0"/>
              <w:jc w:val="right"/>
            </w:pPr>
            <w:r w:rsidRPr="00B415E3">
              <w:t>0.77***</w:t>
            </w:r>
          </w:p>
        </w:tc>
        <w:tc>
          <w:tcPr>
            <w:tcW w:w="1201" w:type="dxa"/>
            <w:tcBorders>
              <w:left w:val="nil"/>
              <w:bottom w:val="single" w:sz="4" w:space="0" w:color="000000"/>
              <w:right w:val="nil"/>
            </w:tcBorders>
            <w:shd w:val="clear" w:color="auto" w:fill="auto"/>
            <w:vAlign w:val="center"/>
          </w:tcPr>
          <w:p w14:paraId="30C8517F" w14:textId="77777777" w:rsidR="0021652D" w:rsidRPr="00B415E3" w:rsidRDefault="001B2301">
            <w:pPr>
              <w:spacing w:before="0"/>
              <w:jc w:val="right"/>
            </w:pPr>
            <w:r w:rsidRPr="00B415E3">
              <w:t>1.00</w:t>
            </w:r>
          </w:p>
        </w:tc>
        <w:tc>
          <w:tcPr>
            <w:tcW w:w="2520" w:type="dxa"/>
            <w:tcBorders>
              <w:left w:val="nil"/>
              <w:bottom w:val="single" w:sz="4" w:space="0" w:color="000000"/>
            </w:tcBorders>
          </w:tcPr>
          <w:p w14:paraId="0FEB3B7F" w14:textId="77777777" w:rsidR="0021652D" w:rsidRPr="00B415E3" w:rsidRDefault="001B2301">
            <w:pPr>
              <w:spacing w:before="0"/>
              <w:jc w:val="center"/>
            </w:pPr>
            <w:r w:rsidRPr="00B415E3">
              <w:t>Supported</w:t>
            </w:r>
          </w:p>
        </w:tc>
      </w:tr>
    </w:tbl>
    <w:p w14:paraId="5DE69597" w14:textId="77777777" w:rsidR="0021652D" w:rsidRPr="00B415E3" w:rsidRDefault="001B2301">
      <w:pPr>
        <w:spacing w:line="480" w:lineRule="auto"/>
        <w:rPr>
          <w:sz w:val="20"/>
          <w:szCs w:val="20"/>
        </w:rPr>
      </w:pPr>
      <w:r w:rsidRPr="00B415E3">
        <w:t xml:space="preserve">Notes: </w:t>
      </w:r>
      <w:r w:rsidRPr="00B415E3">
        <w:rPr>
          <w:sz w:val="20"/>
          <w:szCs w:val="20"/>
        </w:rPr>
        <w:t>***The corresponding p-values suggest significance of the coefficients.</w:t>
      </w:r>
    </w:p>
    <w:p w14:paraId="7205A1C3" w14:textId="77777777" w:rsidR="0021652D" w:rsidRPr="00B415E3" w:rsidRDefault="0021652D"/>
    <w:p w14:paraId="5D1BA2DC" w14:textId="77777777" w:rsidR="0021652D" w:rsidRPr="00B415E3" w:rsidRDefault="001B2301">
      <w:pPr>
        <w:pStyle w:val="Heading1"/>
        <w:numPr>
          <w:ilvl w:val="0"/>
          <w:numId w:val="2"/>
        </w:numPr>
        <w:spacing w:line="480" w:lineRule="auto"/>
        <w:rPr>
          <w:color w:val="auto"/>
        </w:rPr>
      </w:pPr>
      <w:r w:rsidRPr="00B415E3">
        <w:rPr>
          <w:color w:val="auto"/>
        </w:rPr>
        <w:t>Discussion of Findings</w:t>
      </w:r>
    </w:p>
    <w:p w14:paraId="0843B6DB" w14:textId="063DF775" w:rsidR="0021652D" w:rsidRPr="00B415E3" w:rsidRDefault="001B2301">
      <w:pPr>
        <w:spacing w:line="480" w:lineRule="auto"/>
        <w:rPr>
          <w:sz w:val="24"/>
          <w:szCs w:val="24"/>
        </w:rPr>
      </w:pPr>
      <w:r w:rsidRPr="00B415E3">
        <w:rPr>
          <w:sz w:val="24"/>
          <w:szCs w:val="24"/>
        </w:rPr>
        <w:t>Through the presented model, we empirically investigated the impact of social comparison experiences on HIS self-efficacy, perceived enjoyment and continuance intention to use the HIS (online social game). First, similarly to other domains (Sherlock 2007</w:t>
      </w:r>
      <w:r w:rsidR="00537AE2">
        <w:rPr>
          <w:sz w:val="24"/>
          <w:szCs w:val="24"/>
        </w:rPr>
        <w:t>;</w:t>
      </w:r>
      <w:r w:rsidRPr="00B415E3">
        <w:rPr>
          <w:sz w:val="24"/>
          <w:szCs w:val="24"/>
        </w:rPr>
        <w:t xml:space="preserve"> Wu et al. 2007</w:t>
      </w:r>
      <w:r w:rsidR="00537AE2">
        <w:rPr>
          <w:sz w:val="24"/>
          <w:szCs w:val="24"/>
        </w:rPr>
        <w:t>;</w:t>
      </w:r>
      <w:r w:rsidRPr="00B415E3">
        <w:rPr>
          <w:sz w:val="24"/>
          <w:szCs w:val="24"/>
        </w:rPr>
        <w:t xml:space="preserve"> Lee et al. 2013</w:t>
      </w:r>
      <w:r w:rsidR="00537AE2">
        <w:rPr>
          <w:sz w:val="24"/>
          <w:szCs w:val="24"/>
        </w:rPr>
        <w:t>;</w:t>
      </w:r>
      <w:r w:rsidRPr="00B415E3">
        <w:rPr>
          <w:sz w:val="24"/>
          <w:szCs w:val="24"/>
        </w:rPr>
        <w:t xml:space="preserve"> Alzahrani et al. 2017), our study confirms that perceived enjoyment is the most influential </w:t>
      </w:r>
      <w:r w:rsidRPr="00B415E3">
        <w:rPr>
          <w:sz w:val="24"/>
          <w:szCs w:val="24"/>
        </w:rPr>
        <w:lastRenderedPageBreak/>
        <w:t>predictor of player continuance intentions. However, online gaming self-efficacy is still relevant because it not only has a moderate effect on continuance intentions, but also it affects perceived enjoyment. Humans tend to enjoy more tasks that they know how to complete, and they are good at. Therefore, it is expected that when players have high self-efficacy beliefs, their perceived enjoyment will also increase. In contrast, when people feel that they are not performing well in a task, their enjoyment is quite likely to decrease. This finding contributes to the ongoing discussion about identifying elements in HIS (such as online social games) that are successful in establishing continuance (Hsiao et al. 2012b). While previous work (Hsiao et al. 2012a, b) has identified that a player’s trust in the online community and the perception of social value derived from this community positively affect continuance in online games, no attempt to connect the continuance intentions with self-efficacy and perceived enjoyment has been made. The latter two constructs lead us to a concrete operationalization of instruments that incentivize players to continue being engaged in the HIS.</w:t>
      </w:r>
    </w:p>
    <w:p w14:paraId="28CA9660" w14:textId="77777777" w:rsidR="0021652D" w:rsidRPr="00B415E3" w:rsidRDefault="001B2301">
      <w:pPr>
        <w:spacing w:line="480" w:lineRule="auto"/>
        <w:rPr>
          <w:sz w:val="24"/>
          <w:szCs w:val="24"/>
        </w:rPr>
      </w:pPr>
      <w:bookmarkStart w:id="11" w:name="_heading=h.3dy6vkm" w:colFirst="0" w:colLast="0"/>
      <w:bookmarkEnd w:id="11"/>
      <w:r w:rsidRPr="00B415E3">
        <w:rPr>
          <w:sz w:val="24"/>
          <w:szCs w:val="24"/>
        </w:rPr>
        <w:t xml:space="preserve">To this end, we show that players’ perceived enjoyment and self-efficacy are influenced by the process of social comparison with other players. Our results demonstrate that out of four dimensions of social comparison, three of them (upward identification, upward and downward contrast) influence perceived enjoyment. Literature has shown that social presence and tendency to social comparison influence perceived enjoyment (Shen 2012), but there was limited evidence about the relationship between the social comparison elements and perceived enjoyment. Furthermore, previous work (Chang, et al. 2014) has shown that continuance in HIS can be incentivized via utilitarian incentives to players, as well as peer influence from their community. We advance this conversation by showing that in addition to peer influence, direct social </w:t>
      </w:r>
      <w:r w:rsidRPr="00B415E3">
        <w:rPr>
          <w:sz w:val="24"/>
          <w:szCs w:val="24"/>
        </w:rPr>
        <w:lastRenderedPageBreak/>
        <w:t xml:space="preserve">comparisons (upward identification, downward identification and downward contrast) among the correctly chosen individuals can affect enjoyment and enhance continuance in online social games. </w:t>
      </w:r>
    </w:p>
    <w:p w14:paraId="7EF797CB" w14:textId="04A21848" w:rsidR="0021652D" w:rsidRPr="00B415E3" w:rsidRDefault="001B2301">
      <w:pPr>
        <w:spacing w:line="480" w:lineRule="auto"/>
        <w:rPr>
          <w:sz w:val="24"/>
          <w:szCs w:val="24"/>
        </w:rPr>
      </w:pPr>
      <w:bookmarkStart w:id="12" w:name="_heading=h.1t3h5sf" w:colFirst="0" w:colLast="0"/>
      <w:bookmarkEnd w:id="12"/>
      <w:r w:rsidRPr="00B415E3">
        <w:rPr>
          <w:sz w:val="24"/>
          <w:szCs w:val="24"/>
        </w:rPr>
        <w:t>Specifically, upward identification seems to be the most influential comparison mechanism that leads to an increased online social game perceived enjoyment, which, in turn, is positively related with the intention to continue playing the game. This result means that players, when they identify with the players performing better than them, they feel they enjoy the game more and, therefore, they continue playing. That could be interpreted as a feeling that their chances of performing equally well are higher, continuing to be engaged in the game. When players feel that they are performing as bad as players below them in the leaderboard (downward identification), the opposite happens. Their perceived enjoyment decreases, indicating that emphasizing the inferior performance of players below the user in the leaderboard might lead to downward identification feelings, making the user feel that in the future s/he might perform as badly as people with lower leaderboard rankings. Thus, establishing upward identifications can contribute not only to the online social game continuance literature (Chang et al. 2014</w:t>
      </w:r>
      <w:r w:rsidR="00537AE2">
        <w:rPr>
          <w:sz w:val="24"/>
          <w:szCs w:val="24"/>
        </w:rPr>
        <w:t>;</w:t>
      </w:r>
      <w:r w:rsidRPr="00B415E3">
        <w:rPr>
          <w:sz w:val="24"/>
          <w:szCs w:val="24"/>
        </w:rPr>
        <w:t xml:space="preserve"> Hsiao et al. 2012a, b), but also to the online social games adoption literature (Chang et al, 2006</w:t>
      </w:r>
      <w:r w:rsidR="00537AE2">
        <w:rPr>
          <w:sz w:val="24"/>
          <w:szCs w:val="24"/>
        </w:rPr>
        <w:t>;</w:t>
      </w:r>
      <w:r w:rsidRPr="00B415E3">
        <w:rPr>
          <w:sz w:val="24"/>
          <w:szCs w:val="24"/>
        </w:rPr>
        <w:t xml:space="preserve"> Zhu et al. 2012</w:t>
      </w:r>
      <w:r w:rsidR="00537AE2">
        <w:rPr>
          <w:sz w:val="24"/>
          <w:szCs w:val="24"/>
        </w:rPr>
        <w:t>;</w:t>
      </w:r>
      <w:r w:rsidRPr="00B415E3">
        <w:rPr>
          <w:sz w:val="24"/>
          <w:szCs w:val="24"/>
        </w:rPr>
        <w:t xml:space="preserve"> Cheung et al. 2015), as it is shown that customer engagement (Chang et al, 2006</w:t>
      </w:r>
      <w:r w:rsidR="00537AE2">
        <w:rPr>
          <w:sz w:val="24"/>
          <w:szCs w:val="24"/>
        </w:rPr>
        <w:t>;</w:t>
      </w:r>
      <w:r w:rsidRPr="00B415E3">
        <w:rPr>
          <w:sz w:val="24"/>
          <w:szCs w:val="24"/>
        </w:rPr>
        <w:t xml:space="preserve"> Cheung et al. 2015) is one of the determining factors when it comes to online game adoption.</w:t>
      </w:r>
    </w:p>
    <w:p w14:paraId="7B874C6A" w14:textId="21F590C9" w:rsidR="0021652D" w:rsidRPr="00B415E3" w:rsidRDefault="001B2301">
      <w:pPr>
        <w:spacing w:line="480" w:lineRule="auto"/>
        <w:rPr>
          <w:sz w:val="24"/>
          <w:szCs w:val="24"/>
        </w:rPr>
      </w:pPr>
      <w:r w:rsidRPr="00B415E3">
        <w:rPr>
          <w:sz w:val="24"/>
          <w:szCs w:val="24"/>
        </w:rPr>
        <w:t xml:space="preserve">In addition, we do not find support that upward contrast influences player perceived enjoyment. This result may be partially explained by the fact that when players contrast themselves with other players within the game, they are directly comparing their gaming performance. Therefore, although we expect them to be discouraged and feel that their online social gaming enjoyment has decreased as a result of this upward contrast, some players may also implicitly enjoy this competing aspect of the game. These players may interpret this competition as a quest to seek </w:t>
      </w:r>
      <w:r w:rsidRPr="00B415E3">
        <w:rPr>
          <w:sz w:val="24"/>
          <w:szCs w:val="24"/>
        </w:rPr>
        <w:lastRenderedPageBreak/>
        <w:t>revenge and may see this competition as a challenge that keeps them motivated. Therefore, we cannot arrive at a clear conclusion related to upward contrast and perceived enjoyment. Similar findings are also presented by Velez et al. (2018), Rahimi</w:t>
      </w:r>
      <w:r w:rsidR="008131FC" w:rsidRPr="00B415E3">
        <w:rPr>
          <w:sz w:val="24"/>
          <w:szCs w:val="24"/>
        </w:rPr>
        <w:t xml:space="preserve"> et al. (2017) and Lewis (2020)</w:t>
      </w:r>
      <w:r w:rsidRPr="00B415E3">
        <w:rPr>
          <w:sz w:val="24"/>
          <w:szCs w:val="24"/>
        </w:rPr>
        <w:t xml:space="preserve">, where such negative feedback and upward contrast did not seem to affect perceived enjoyment negatively. </w:t>
      </w:r>
    </w:p>
    <w:p w14:paraId="108B8083" w14:textId="77777777" w:rsidR="0021652D" w:rsidRPr="00B415E3" w:rsidRDefault="001B2301">
      <w:pPr>
        <w:spacing w:after="200" w:line="480" w:lineRule="auto"/>
        <w:rPr>
          <w:sz w:val="24"/>
          <w:szCs w:val="24"/>
        </w:rPr>
      </w:pPr>
      <w:r w:rsidRPr="00B415E3">
        <w:rPr>
          <w:sz w:val="24"/>
          <w:szCs w:val="24"/>
        </w:rPr>
        <w:t>Moreover, we did not find support of our hypothesis connecting downward identification with decrease in self-efficacy. Self-efficacy is defined as “people’s judgment of their own capabilities to organize and execute courses of action required to attain designated types of performances” (Bandura, A. 1986). Therefore, despite that some individuals might be discouraged by identifying with players performing worse than them (downward identification), others might not perceive this downward identification as a reflection to their own capabilities and skills. Instead, they might see this identification as a circumstantial event that might be overcome using their own capabilities. Based on Lindsley et al. (1995), self-efficacy has a spiral relationship with performance in the sense that self-efficacy affects performance and performance affects self-efficacy</w:t>
      </w:r>
      <w:r w:rsidRPr="00B415E3">
        <w:rPr>
          <w:sz w:val="20"/>
          <w:szCs w:val="20"/>
        </w:rPr>
        <w:t xml:space="preserve">. </w:t>
      </w:r>
      <w:r w:rsidRPr="00B415E3">
        <w:rPr>
          <w:sz w:val="24"/>
          <w:szCs w:val="24"/>
        </w:rPr>
        <w:t>Therefore, despite that downward identification is expected to decrease self-efficacy, the interpretation of a player’s performance might increase the feelings of self-efficacy, leading to an uncertain direction of the outcome. Similar results are being presented by Carmona et al. (2008) who conducted a study with 120 university students to examine whether social comparison responses mediated the relationship between goal orientation, self-efficacy and academic success. They also found that downward identification does not influence academic self-efficacy. Thus, the relationship between downward identification and self-efficacy deserves future investigation.</w:t>
      </w:r>
    </w:p>
    <w:p w14:paraId="52CDDAC2" w14:textId="77777777" w:rsidR="0021652D" w:rsidRPr="00B415E3" w:rsidRDefault="001B2301">
      <w:pPr>
        <w:spacing w:before="0" w:after="200" w:line="480" w:lineRule="auto"/>
        <w:rPr>
          <w:sz w:val="24"/>
          <w:szCs w:val="24"/>
        </w:rPr>
      </w:pPr>
      <w:bookmarkStart w:id="13" w:name="_heading=h.4d34og8" w:colFirst="0" w:colLast="0"/>
      <w:bookmarkEnd w:id="13"/>
      <w:r w:rsidRPr="00B415E3">
        <w:rPr>
          <w:sz w:val="24"/>
          <w:szCs w:val="24"/>
        </w:rPr>
        <w:t xml:space="preserve">Finally, taken together, our findings indicate that upward identification and downward contrast comparisons are the most influential comparison elements in game continuance intentions, with </w:t>
      </w:r>
      <w:r w:rsidRPr="00B415E3">
        <w:rPr>
          <w:sz w:val="24"/>
          <w:szCs w:val="24"/>
        </w:rPr>
        <w:lastRenderedPageBreak/>
        <w:t>both comparisons influencing self-efficacy and enjoyment, but in different ways. Upward identification had a stronger relationship with game enjoyment, whereas downward contrast had a stronger relationship with online social gaming self-efficacy. Therefore, a combination of those could lead to more effective online social game continuance incentives, responding to the literature call for disentangling the social elements that increase online gaming engagement (Shen, 2012; Lee et al. 2011; Song et al. 2006).</w:t>
      </w:r>
    </w:p>
    <w:p w14:paraId="3E4E3505" w14:textId="24443007" w:rsidR="0021652D" w:rsidRPr="00B415E3" w:rsidRDefault="001B2301">
      <w:pPr>
        <w:spacing w:before="0" w:line="480" w:lineRule="auto"/>
        <w:rPr>
          <w:sz w:val="24"/>
          <w:szCs w:val="24"/>
        </w:rPr>
      </w:pPr>
      <w:r w:rsidRPr="00B415E3">
        <w:rPr>
          <w:sz w:val="24"/>
          <w:szCs w:val="24"/>
        </w:rPr>
        <w:t>We should highlight that the presented study is advancing our understanding about HIS continuance by measuring the actual continuance behaviour in an online social game, besides measuring the self-reported intention that has so far been used in the literature as a metric for continuance (Chang et al. 2014</w:t>
      </w:r>
      <w:r w:rsidR="00537AE2">
        <w:rPr>
          <w:sz w:val="24"/>
          <w:szCs w:val="24"/>
        </w:rPr>
        <w:t>;</w:t>
      </w:r>
      <w:r w:rsidRPr="00B415E3">
        <w:rPr>
          <w:sz w:val="24"/>
          <w:szCs w:val="24"/>
        </w:rPr>
        <w:t xml:space="preserve"> Hsiao et al. 2012a, b). Therefore, our results can help strengthen the theory of HIS continuance by providing objectively measured evidence in combination with self-reported measures.</w:t>
      </w:r>
    </w:p>
    <w:p w14:paraId="5954D3E9" w14:textId="77777777" w:rsidR="0021652D" w:rsidRPr="00B415E3" w:rsidRDefault="0021652D">
      <w:pPr>
        <w:spacing w:before="0" w:line="480" w:lineRule="auto"/>
        <w:rPr>
          <w:sz w:val="24"/>
          <w:szCs w:val="24"/>
        </w:rPr>
      </w:pPr>
    </w:p>
    <w:p w14:paraId="26527C58" w14:textId="77777777" w:rsidR="0021652D" w:rsidRPr="00B415E3" w:rsidRDefault="001B2301">
      <w:pPr>
        <w:pStyle w:val="Heading1"/>
        <w:spacing w:line="480" w:lineRule="auto"/>
        <w:ind w:left="0" w:firstLine="0"/>
        <w:rPr>
          <w:color w:val="auto"/>
        </w:rPr>
      </w:pPr>
      <w:bookmarkStart w:id="14" w:name="_heading=h.2s8eyo1" w:colFirst="0" w:colLast="0"/>
      <w:bookmarkEnd w:id="14"/>
      <w:r w:rsidRPr="00B415E3">
        <w:rPr>
          <w:color w:val="auto"/>
        </w:rPr>
        <w:t>7 Conclusions and Implications</w:t>
      </w:r>
    </w:p>
    <w:p w14:paraId="4579089F" w14:textId="77777777" w:rsidR="0021652D" w:rsidRPr="00B415E3" w:rsidRDefault="001B2301">
      <w:pPr>
        <w:spacing w:line="480" w:lineRule="auto"/>
        <w:rPr>
          <w:sz w:val="24"/>
          <w:szCs w:val="24"/>
        </w:rPr>
      </w:pPr>
      <w:r w:rsidRPr="00B415E3">
        <w:rPr>
          <w:sz w:val="24"/>
          <w:szCs w:val="24"/>
        </w:rPr>
        <w:t>This study shows that hedonic information systems continuance intentions can be incentivized using social comparison along different directions. We find that upward identification and downward contrast have a significant positive effect on users’ online social gaming self-efficacy and perceived enjoyment, revealing strong intentions to continue being engaged with the HIS. We also find a negative influence of upward contrast to self-efficacy, and a negative influence of downward identification to perceived enjoyment, both leading to a negative impact on continuance. Next, we discuss the theoretical and practical implications of these findings.</w:t>
      </w:r>
    </w:p>
    <w:p w14:paraId="4F4C8EA2" w14:textId="77777777" w:rsidR="0021652D" w:rsidRPr="00B415E3" w:rsidRDefault="001B2301">
      <w:pPr>
        <w:spacing w:line="480" w:lineRule="auto"/>
        <w:rPr>
          <w:b/>
          <w:sz w:val="24"/>
          <w:szCs w:val="24"/>
        </w:rPr>
      </w:pPr>
      <w:r w:rsidRPr="00B415E3">
        <w:rPr>
          <w:b/>
          <w:sz w:val="24"/>
          <w:szCs w:val="24"/>
        </w:rPr>
        <w:t>7.1 Theoretical Implications</w:t>
      </w:r>
    </w:p>
    <w:p w14:paraId="09A4865C" w14:textId="1F784599" w:rsidR="00AB2C23" w:rsidRPr="00B415E3" w:rsidRDefault="001B2301">
      <w:pPr>
        <w:spacing w:line="480" w:lineRule="auto"/>
      </w:pPr>
      <w:r w:rsidRPr="00B415E3">
        <w:rPr>
          <w:sz w:val="24"/>
          <w:szCs w:val="24"/>
        </w:rPr>
        <w:lastRenderedPageBreak/>
        <w:t>This work has some important contributions to IS research. The major contribution of this study lies on building a novel and multifaceted theoretical account of how players react to different social comparison design elements of a hedonic information system, with respect to continuance. While previous work (Chang et al. 2014</w:t>
      </w:r>
      <w:r w:rsidR="001639DD">
        <w:rPr>
          <w:sz w:val="24"/>
          <w:szCs w:val="24"/>
        </w:rPr>
        <w:t>;</w:t>
      </w:r>
      <w:r w:rsidRPr="00B415E3">
        <w:rPr>
          <w:sz w:val="24"/>
          <w:szCs w:val="24"/>
        </w:rPr>
        <w:t xml:space="preserve"> Hsiao et al. 2012a, b) has highlighted the need for concrete mechanisms to incentivize continuance in HIS, we know very little about connecting the social comparison dimension to continuance intentions in HIS such as online social games. </w:t>
      </w:r>
      <w:r w:rsidR="00AB2C23" w:rsidRPr="00B415E3">
        <w:rPr>
          <w:sz w:val="24"/>
          <w:szCs w:val="24"/>
        </w:rPr>
        <w:t>Th</w:t>
      </w:r>
      <w:r w:rsidR="0019347F" w:rsidRPr="00B415E3">
        <w:rPr>
          <w:sz w:val="24"/>
          <w:szCs w:val="24"/>
        </w:rPr>
        <w:t>is</w:t>
      </w:r>
      <w:r w:rsidR="00AB2C23" w:rsidRPr="00B415E3">
        <w:rPr>
          <w:sz w:val="24"/>
          <w:szCs w:val="24"/>
        </w:rPr>
        <w:t xml:space="preserve"> study examined how the specific social elements of a HIS can serve as successful incentives for IS continuance</w:t>
      </w:r>
      <w:r w:rsidR="003934ED" w:rsidRPr="00B415E3">
        <w:rPr>
          <w:sz w:val="24"/>
          <w:szCs w:val="24"/>
        </w:rPr>
        <w:t xml:space="preserve">, advancing the discussion about </w:t>
      </w:r>
      <w:r w:rsidR="00AB2C23" w:rsidRPr="00B415E3">
        <w:rPr>
          <w:sz w:val="24"/>
          <w:szCs w:val="24"/>
        </w:rPr>
        <w:t xml:space="preserve">social relatedness </w:t>
      </w:r>
      <w:r w:rsidR="003934ED" w:rsidRPr="00B415E3">
        <w:rPr>
          <w:sz w:val="24"/>
          <w:szCs w:val="24"/>
        </w:rPr>
        <w:t xml:space="preserve">and </w:t>
      </w:r>
      <w:r w:rsidR="00AB2C23" w:rsidRPr="00B415E3">
        <w:rPr>
          <w:sz w:val="24"/>
          <w:szCs w:val="24"/>
        </w:rPr>
        <w:t xml:space="preserve">satisfaction (Sailer et al. 2017). </w:t>
      </w:r>
      <w:r w:rsidR="00CD680F" w:rsidRPr="00B415E3">
        <w:rPr>
          <w:sz w:val="24"/>
          <w:szCs w:val="24"/>
        </w:rPr>
        <w:t>Specifically, the findings of this work explicitly articulate which social elements can increase satisfaction</w:t>
      </w:r>
      <w:r w:rsidR="004F2CAC" w:rsidRPr="00B415E3">
        <w:rPr>
          <w:sz w:val="24"/>
          <w:szCs w:val="24"/>
        </w:rPr>
        <w:t xml:space="preserve"> in online social games</w:t>
      </w:r>
      <w:r w:rsidR="00CD680F" w:rsidRPr="00B415E3">
        <w:rPr>
          <w:sz w:val="24"/>
          <w:szCs w:val="24"/>
        </w:rPr>
        <w:t xml:space="preserve">, as opposed to previous general claims about social relatedness. </w:t>
      </w:r>
      <w:r w:rsidR="00F574CD" w:rsidRPr="00B415E3">
        <w:rPr>
          <w:sz w:val="24"/>
          <w:szCs w:val="24"/>
        </w:rPr>
        <w:t>More importantly, our findings can address the reduced continuance and low members’ motivation issues in online social games (</w:t>
      </w:r>
      <w:r w:rsidR="00F574CD" w:rsidRPr="00B415E3">
        <w:rPr>
          <w:sz w:val="24"/>
          <w:szCs w:val="24"/>
          <w:lang w:val="en-US"/>
        </w:rPr>
        <w:t>Kuem et al. 2020</w:t>
      </w:r>
      <w:r w:rsidR="001639DD">
        <w:rPr>
          <w:sz w:val="24"/>
          <w:szCs w:val="24"/>
          <w:lang w:val="en-US"/>
        </w:rPr>
        <w:t>;</w:t>
      </w:r>
      <w:r w:rsidR="00F574CD" w:rsidRPr="00B415E3">
        <w:rPr>
          <w:sz w:val="24"/>
          <w:szCs w:val="24"/>
          <w:lang w:val="en-US"/>
        </w:rPr>
        <w:t xml:space="preserve"> </w:t>
      </w:r>
      <w:r w:rsidR="00F574CD" w:rsidRPr="00B415E3">
        <w:rPr>
          <w:sz w:val="24"/>
          <w:szCs w:val="24"/>
        </w:rPr>
        <w:t>Ma et al. 2018</w:t>
      </w:r>
      <w:r w:rsidR="00F574CD" w:rsidRPr="00B415E3">
        <w:rPr>
          <w:sz w:val="24"/>
          <w:szCs w:val="24"/>
          <w:lang w:val="en-US"/>
        </w:rPr>
        <w:t>), capitalizing on the presented explicit social mechanisms</w:t>
      </w:r>
      <w:r w:rsidR="00F574CD" w:rsidRPr="00B415E3">
        <w:rPr>
          <w:sz w:val="24"/>
          <w:szCs w:val="24"/>
        </w:rPr>
        <w:t>.</w:t>
      </w:r>
    </w:p>
    <w:p w14:paraId="4708B2A5" w14:textId="1BFC3048" w:rsidR="0021652D" w:rsidRPr="00B415E3" w:rsidRDefault="003934ED">
      <w:pPr>
        <w:spacing w:line="480" w:lineRule="auto"/>
        <w:rPr>
          <w:sz w:val="24"/>
          <w:szCs w:val="24"/>
        </w:rPr>
      </w:pPr>
      <w:r w:rsidRPr="00B415E3">
        <w:rPr>
          <w:sz w:val="24"/>
          <w:szCs w:val="24"/>
        </w:rPr>
        <w:t>In addition, t</w:t>
      </w:r>
      <w:r w:rsidR="001B2301" w:rsidRPr="00B415E3">
        <w:rPr>
          <w:sz w:val="24"/>
          <w:szCs w:val="24"/>
        </w:rPr>
        <w:t xml:space="preserve">he findings of this study contribute to </w:t>
      </w:r>
      <w:r w:rsidR="00AB2C23" w:rsidRPr="00B415E3">
        <w:rPr>
          <w:sz w:val="24"/>
          <w:szCs w:val="24"/>
        </w:rPr>
        <w:t xml:space="preserve">a deeper understanding of the social component of </w:t>
      </w:r>
      <w:r w:rsidR="001B2301" w:rsidRPr="00B415E3">
        <w:rPr>
          <w:sz w:val="24"/>
          <w:szCs w:val="24"/>
        </w:rPr>
        <w:t xml:space="preserve">the online social game literature </w:t>
      </w:r>
      <w:r w:rsidR="00AB2C23" w:rsidRPr="00B415E3">
        <w:rPr>
          <w:sz w:val="24"/>
          <w:szCs w:val="24"/>
        </w:rPr>
        <w:t xml:space="preserve">and, more specifically, the literature on </w:t>
      </w:r>
      <w:r w:rsidR="001B2301" w:rsidRPr="00B415E3">
        <w:rPr>
          <w:sz w:val="24"/>
          <w:szCs w:val="24"/>
        </w:rPr>
        <w:t xml:space="preserve">social interactions among players </w:t>
      </w:r>
      <w:r w:rsidR="00AB2C23" w:rsidRPr="00B415E3">
        <w:rPr>
          <w:sz w:val="24"/>
          <w:szCs w:val="24"/>
        </w:rPr>
        <w:t>and how it increases</w:t>
      </w:r>
      <w:r w:rsidR="001B2301" w:rsidRPr="00B415E3">
        <w:rPr>
          <w:sz w:val="24"/>
          <w:szCs w:val="24"/>
        </w:rPr>
        <w:t xml:space="preserve"> their satisfaction and enjoyment (Sailer et al. 2017, Tseng et al. 2015, Shin et al</w:t>
      </w:r>
      <w:r w:rsidRPr="00B415E3">
        <w:rPr>
          <w:sz w:val="24"/>
          <w:szCs w:val="24"/>
        </w:rPr>
        <w:t xml:space="preserve">. 2011, Sweetser et al. 2005, </w:t>
      </w:r>
      <w:r w:rsidR="001B2301" w:rsidRPr="00B415E3">
        <w:rPr>
          <w:sz w:val="24"/>
          <w:szCs w:val="24"/>
        </w:rPr>
        <w:t xml:space="preserve">Jegers 2007). </w:t>
      </w:r>
      <w:r w:rsidR="00AB2C23" w:rsidRPr="00B415E3">
        <w:rPr>
          <w:sz w:val="24"/>
          <w:szCs w:val="24"/>
        </w:rPr>
        <w:t>Existing</w:t>
      </w:r>
      <w:r w:rsidR="001B2301" w:rsidRPr="00B415E3">
        <w:rPr>
          <w:sz w:val="24"/>
          <w:szCs w:val="24"/>
        </w:rPr>
        <w:t xml:space="preserve"> literature</w:t>
      </w:r>
      <w:r w:rsidR="00AB2C23" w:rsidRPr="00B415E3">
        <w:rPr>
          <w:sz w:val="24"/>
          <w:szCs w:val="24"/>
        </w:rPr>
        <w:t xml:space="preserve"> </w:t>
      </w:r>
      <w:r w:rsidR="001B2301" w:rsidRPr="00B415E3">
        <w:rPr>
          <w:sz w:val="24"/>
          <w:szCs w:val="24"/>
        </w:rPr>
        <w:t xml:space="preserve">has not made an attempt to operationalize these social interactions to comprehensive directives for game designs. </w:t>
      </w:r>
      <w:r w:rsidR="001B2301" w:rsidRPr="001639DD">
        <w:rPr>
          <w:color w:val="000000" w:themeColor="text1"/>
          <w:sz w:val="24"/>
          <w:szCs w:val="24"/>
        </w:rPr>
        <w:t xml:space="preserve">Hence, our findings </w:t>
      </w:r>
      <w:r w:rsidR="00272ACB" w:rsidRPr="001639DD">
        <w:rPr>
          <w:color w:val="000000" w:themeColor="text1"/>
          <w:sz w:val="24"/>
          <w:szCs w:val="24"/>
        </w:rPr>
        <w:t>can help offering</w:t>
      </w:r>
      <w:r w:rsidR="00AB2C23" w:rsidRPr="001639DD">
        <w:rPr>
          <w:color w:val="000000" w:themeColor="text1"/>
          <w:sz w:val="24"/>
          <w:szCs w:val="24"/>
        </w:rPr>
        <w:t xml:space="preserve"> </w:t>
      </w:r>
      <w:r w:rsidR="001B2301" w:rsidRPr="001639DD">
        <w:rPr>
          <w:color w:val="000000" w:themeColor="text1"/>
          <w:sz w:val="24"/>
          <w:szCs w:val="24"/>
        </w:rPr>
        <w:t xml:space="preserve">anxiety-relieving benefits to players </w:t>
      </w:r>
      <w:r w:rsidR="001B2301" w:rsidRPr="00B415E3">
        <w:rPr>
          <w:sz w:val="24"/>
          <w:szCs w:val="24"/>
        </w:rPr>
        <w:t>(e.g., #PlayApartTogether campaign launched by the World Health Organization).</w:t>
      </w:r>
    </w:p>
    <w:p w14:paraId="33BA3CF5" w14:textId="77777777" w:rsidR="0021652D" w:rsidRPr="00B415E3" w:rsidRDefault="001B2301">
      <w:pPr>
        <w:spacing w:line="480" w:lineRule="auto"/>
        <w:rPr>
          <w:sz w:val="24"/>
          <w:szCs w:val="24"/>
        </w:rPr>
      </w:pPr>
      <w:r w:rsidRPr="00B415E3">
        <w:rPr>
          <w:sz w:val="24"/>
          <w:szCs w:val="24"/>
        </w:rPr>
        <w:t xml:space="preserve">By combining the theories of social comparison with social comparison design, we are able to more thoroughly explore group socialising behaviour in an online social community setting. The theoretical combination enables us to consider more thoroughly individual hedonistic behaviour </w:t>
      </w:r>
      <w:r w:rsidRPr="00B415E3">
        <w:rPr>
          <w:sz w:val="24"/>
          <w:szCs w:val="24"/>
        </w:rPr>
        <w:lastRenderedPageBreak/>
        <w:t>as it manifests within a self-identifying group - an online social community. We argue that since the feeling of trust in the online community is known to increase engagement in online games (Hsiao et al. 2012a, b), correctly designed comparisons with the right individuals within this community are going to strengthen the effect on continuance. This argument is supported by our results.</w:t>
      </w:r>
    </w:p>
    <w:p w14:paraId="0AC154C1" w14:textId="77777777" w:rsidR="0021652D" w:rsidRPr="00B415E3" w:rsidRDefault="001B2301">
      <w:pPr>
        <w:spacing w:line="480" w:lineRule="auto"/>
        <w:rPr>
          <w:sz w:val="24"/>
          <w:szCs w:val="24"/>
        </w:rPr>
      </w:pPr>
      <w:r w:rsidRPr="00B415E3">
        <w:rPr>
          <w:sz w:val="24"/>
          <w:szCs w:val="24"/>
        </w:rPr>
        <w:t>Furthermore, while social comparison theory has been developed and tested in user groups coping with numerous health-related issues (Buunk et al. 1997; Tennen et al. 2000; Myers et al. 2009) such as cancer (Van der Zee et al. 1999; Van der Zee et al. 2000), fibromyalgia (Cabrera-Perona et al. 2017), burnout (Buunk et al, 2004; Carmona et al. 2006) or other chronic pain disorders (Affleck et al. 1997), it has not been analysed in environments where joy and entertainment are the main objectives. As our results demonstrate, the combination of social comparison theory with IS continuance can open new pathways in IS research and HIS enjoyment, since it can lead to very concrete incentive designs that can be easily interpreted by players (level maps, notifications about comparison with individuals that players identify with, etc.).</w:t>
      </w:r>
    </w:p>
    <w:p w14:paraId="35DD2A1C" w14:textId="6BB58E55" w:rsidR="0021652D" w:rsidRPr="00B415E3" w:rsidRDefault="001B2301">
      <w:pPr>
        <w:spacing w:line="480" w:lineRule="auto"/>
        <w:rPr>
          <w:sz w:val="24"/>
          <w:szCs w:val="24"/>
        </w:rPr>
      </w:pPr>
      <w:r w:rsidRPr="00B415E3">
        <w:rPr>
          <w:sz w:val="24"/>
          <w:szCs w:val="24"/>
        </w:rPr>
        <w:t>Moreover, our results have the potential to contribute to the growing online social games adoption literature (Chang et al, 2006</w:t>
      </w:r>
      <w:r w:rsidR="001639DD">
        <w:rPr>
          <w:sz w:val="24"/>
          <w:szCs w:val="24"/>
        </w:rPr>
        <w:t>;</w:t>
      </w:r>
      <w:r w:rsidRPr="00B415E3">
        <w:rPr>
          <w:sz w:val="24"/>
          <w:szCs w:val="24"/>
        </w:rPr>
        <w:t xml:space="preserve"> Cheung et al. 2015), as the proposed incentives can influence engagement in social games, and it is shown (Chang et al, 2006, Cheung et al. 2015) that customer engagement is one of the determining factors when it comes to online game adoption. </w:t>
      </w:r>
    </w:p>
    <w:p w14:paraId="00A53E48" w14:textId="1DDDD170" w:rsidR="0021652D" w:rsidRPr="00B415E3" w:rsidRDefault="001B2301">
      <w:pPr>
        <w:spacing w:line="480" w:lineRule="auto"/>
        <w:rPr>
          <w:sz w:val="24"/>
          <w:szCs w:val="24"/>
        </w:rPr>
      </w:pPr>
      <w:r w:rsidRPr="00B415E3">
        <w:rPr>
          <w:sz w:val="24"/>
          <w:szCs w:val="24"/>
        </w:rPr>
        <w:t>In addition, this work builds on the seminal technology acceptance (Davis 1989) and IS success (DeLone et al. 1992)</w:t>
      </w:r>
      <w:r w:rsidRPr="00B415E3">
        <w:rPr>
          <w:sz w:val="20"/>
          <w:szCs w:val="20"/>
        </w:rPr>
        <w:t xml:space="preserve"> </w:t>
      </w:r>
      <w:r w:rsidRPr="00B415E3">
        <w:rPr>
          <w:sz w:val="24"/>
          <w:szCs w:val="24"/>
        </w:rPr>
        <w:t xml:space="preserve">models by accounting for social characteristics rather than focusing on only individually assessed ones, such as Perceived Usefulness and Perceived Ease of Use (Davis 1989), or the User Satisfaction (DeLone et al. 1992). The technology acceptance and IS success models </w:t>
      </w:r>
      <w:r w:rsidRPr="00B415E3">
        <w:rPr>
          <w:sz w:val="24"/>
          <w:szCs w:val="24"/>
        </w:rPr>
        <w:lastRenderedPageBreak/>
        <w:t>have extensively served IS research to uncover human intentions toward technology adoption and acceptance (King et al. 2006</w:t>
      </w:r>
      <w:r w:rsidR="001639DD">
        <w:rPr>
          <w:sz w:val="24"/>
          <w:szCs w:val="24"/>
        </w:rPr>
        <w:t>;</w:t>
      </w:r>
      <w:r w:rsidRPr="00B415E3">
        <w:rPr>
          <w:sz w:val="24"/>
          <w:szCs w:val="24"/>
        </w:rPr>
        <w:t xml:space="preserve"> Petter et al. 2009). Specifically, in the fields of online (Zhu et al. 2012) and simulation games (Pando-Garcia et al. 2016), as well as hedonic information systems as a whole (Wang et al. 2012), these models have been used to reveal the individual characteristics that can increase the adoption of the system, focusing on the user-system relationship. However, with the rise of online communities, research has found that besides individually assessed characteristics, users are affected by community characteristics when it comes to their intention to adopt technology  (Chang et al, 2006</w:t>
      </w:r>
      <w:r w:rsidR="001639DD">
        <w:rPr>
          <w:sz w:val="24"/>
          <w:szCs w:val="24"/>
        </w:rPr>
        <w:t>;</w:t>
      </w:r>
      <w:r w:rsidRPr="00B415E3">
        <w:rPr>
          <w:sz w:val="24"/>
          <w:szCs w:val="24"/>
        </w:rPr>
        <w:t xml:space="preserve"> Cheung et al. 2015</w:t>
      </w:r>
      <w:r w:rsidR="001639DD">
        <w:rPr>
          <w:sz w:val="24"/>
          <w:szCs w:val="24"/>
        </w:rPr>
        <w:t>;</w:t>
      </w:r>
      <w:r w:rsidRPr="00B415E3">
        <w:rPr>
          <w:sz w:val="24"/>
          <w:szCs w:val="24"/>
        </w:rPr>
        <w:t xml:space="preserve"> Hsiao et al. 2012a, b). Therefore, in this paper, we advance this discussion by showing that besides individually measured signals related to technology, community induced signals have the potential to strengthen adoption and engagement in hedonic information systems.</w:t>
      </w:r>
    </w:p>
    <w:p w14:paraId="5E52F5EB" w14:textId="77777777" w:rsidR="0021652D" w:rsidRPr="00B415E3" w:rsidRDefault="001B2301">
      <w:pPr>
        <w:spacing w:line="480" w:lineRule="auto"/>
        <w:rPr>
          <w:sz w:val="24"/>
          <w:szCs w:val="24"/>
        </w:rPr>
      </w:pPr>
      <w:bookmarkStart w:id="15" w:name="_heading=h.17dp8vu" w:colFirst="0" w:colLast="0"/>
      <w:bookmarkEnd w:id="15"/>
      <w:r w:rsidRPr="00B415E3">
        <w:rPr>
          <w:sz w:val="24"/>
          <w:szCs w:val="24"/>
        </w:rPr>
        <w:t>Finally, this paper contributes to social theory in IS research. Social mechanisms abound in IS theory but, like causal claims more generally, they are rarely explicitly identified and mentioned as such (Avgerou 2013).  Thus, this work attempts to contribute to the explicit identification of such mechanisms that shape behaviour – continuance in this case – toward a desired outcome.</w:t>
      </w:r>
    </w:p>
    <w:p w14:paraId="2FB12731" w14:textId="77777777" w:rsidR="0021652D" w:rsidRPr="00B415E3" w:rsidRDefault="001B2301">
      <w:pPr>
        <w:spacing w:line="480" w:lineRule="auto"/>
        <w:rPr>
          <w:b/>
          <w:sz w:val="24"/>
          <w:szCs w:val="24"/>
        </w:rPr>
      </w:pPr>
      <w:r w:rsidRPr="00B415E3">
        <w:rPr>
          <w:b/>
          <w:sz w:val="24"/>
          <w:szCs w:val="24"/>
        </w:rPr>
        <w:t>7.2 Practical Implications</w:t>
      </w:r>
    </w:p>
    <w:p w14:paraId="3A395A8B" w14:textId="2CFC2660" w:rsidR="0021652D" w:rsidRPr="00B415E3" w:rsidRDefault="001B2301">
      <w:pPr>
        <w:spacing w:line="480" w:lineRule="auto"/>
        <w:rPr>
          <w:b/>
          <w:sz w:val="24"/>
          <w:szCs w:val="24"/>
        </w:rPr>
      </w:pPr>
      <w:r w:rsidRPr="00B415E3">
        <w:rPr>
          <w:sz w:val="24"/>
          <w:szCs w:val="24"/>
        </w:rPr>
        <w:t>From a managerial point of view, this paper creates insights about the users’ intentions to continue being engaged in an online social game. This can be of paramount importance for the online social game designers who strive to understand players’ driving factors to continue being engaged. It is also a significant determinant for the online social game industry in its strategy to attract loyal players (Choi et al. 2004</w:t>
      </w:r>
      <w:r w:rsidR="001639DD">
        <w:rPr>
          <w:sz w:val="24"/>
          <w:szCs w:val="24"/>
        </w:rPr>
        <w:t>;</w:t>
      </w:r>
      <w:r w:rsidRPr="00B415E3">
        <w:rPr>
          <w:sz w:val="24"/>
          <w:szCs w:val="24"/>
        </w:rPr>
        <w:t xml:space="preserve"> Hsu et al. 2007</w:t>
      </w:r>
      <w:r w:rsidR="001639DD">
        <w:rPr>
          <w:sz w:val="24"/>
          <w:szCs w:val="24"/>
        </w:rPr>
        <w:t>;</w:t>
      </w:r>
      <w:r w:rsidRPr="00B415E3">
        <w:rPr>
          <w:sz w:val="24"/>
          <w:szCs w:val="24"/>
        </w:rPr>
        <w:t xml:space="preserve"> Wu et al. 2007</w:t>
      </w:r>
      <w:r w:rsidR="001639DD">
        <w:rPr>
          <w:sz w:val="24"/>
          <w:szCs w:val="24"/>
        </w:rPr>
        <w:t>;</w:t>
      </w:r>
      <w:r w:rsidRPr="00B415E3">
        <w:rPr>
          <w:sz w:val="24"/>
          <w:szCs w:val="24"/>
        </w:rPr>
        <w:t xml:space="preserve"> Huang et al. 2011</w:t>
      </w:r>
      <w:r w:rsidR="001639DD">
        <w:rPr>
          <w:sz w:val="24"/>
          <w:szCs w:val="24"/>
        </w:rPr>
        <w:t>;</w:t>
      </w:r>
      <w:r w:rsidRPr="00B415E3">
        <w:rPr>
          <w:sz w:val="24"/>
          <w:szCs w:val="24"/>
        </w:rPr>
        <w:t xml:space="preserve"> Su et al. 2016). Therefore, the current study, besides exploring new properties of social comparison and IS </w:t>
      </w:r>
      <w:r w:rsidRPr="00B415E3">
        <w:rPr>
          <w:sz w:val="24"/>
          <w:szCs w:val="24"/>
        </w:rPr>
        <w:lastRenderedPageBreak/>
        <w:t>continuance theory in the use of HIS, can create concrete insights for online social game stakeholders that are coping with gamers’ engagement and retention toward profit maximization.</w:t>
      </w:r>
    </w:p>
    <w:p w14:paraId="455354DF" w14:textId="77777777" w:rsidR="0021652D" w:rsidRPr="00B415E3" w:rsidRDefault="001B2301">
      <w:pPr>
        <w:spacing w:line="480" w:lineRule="auto"/>
        <w:rPr>
          <w:sz w:val="24"/>
          <w:szCs w:val="24"/>
        </w:rPr>
      </w:pPr>
      <w:bookmarkStart w:id="16" w:name="_heading=h.3rdcrjn" w:colFirst="0" w:colLast="0"/>
      <w:bookmarkEnd w:id="16"/>
      <w:r w:rsidRPr="00B415E3">
        <w:rPr>
          <w:sz w:val="24"/>
          <w:szCs w:val="24"/>
        </w:rPr>
        <w:t xml:space="preserve">HIS designers can induce upward identification and downward contrast, when presenting leaderboards and level maps, or via notifications sent to players. For example, they can create leaderboards or notifications to the players, emphasizing the good performance of their friends with whom they identify with, e.g., they have similar characteristics, they are one of the nodes in the social network they interact frequently with, etc. Furthermore, game designers can stress (via notifications, posts, summary results or messages) the similarities of a user to a top performer, making the user feel that it is possible to achieve a similarly good performance. Establishing the notion of similarity of a player with the top performers in the game, can, indeed, create incentives for the player to continue being engaged and minimize the chances of quitting. </w:t>
      </w:r>
    </w:p>
    <w:p w14:paraId="28EBC8B4" w14:textId="77777777" w:rsidR="0021652D" w:rsidRPr="00B415E3" w:rsidRDefault="001B2301">
      <w:pPr>
        <w:spacing w:line="480" w:lineRule="auto"/>
        <w:rPr>
          <w:sz w:val="24"/>
          <w:szCs w:val="24"/>
        </w:rPr>
      </w:pPr>
      <w:r w:rsidRPr="00B415E3">
        <w:rPr>
          <w:sz w:val="24"/>
          <w:szCs w:val="24"/>
        </w:rPr>
        <w:t>In addition, we observed that upward contrast can create feelings of negativity to users that feel they are distant from the top players and they are underperforming significantly compared to them, with no hope to reach their performance. These feelings of negativity reduce their desire to continue being engaged. On the contrary, downward contrast creates feelings of superiority to the users, and increases their self-perceptions of high performance. Therefore, in our particular context of online social games, game designers need to set their gaming incentives (e.g., point systems, leaderboards, badges, levels, notifications, etc.) in a way that establishes identification feelings with the top performers and contrast feelings with the underperforming players. For example, game designers can change the visual representation of leaderboards and level maps so that players can easily visualize the ones which they identify with and the ones they contrast. Such an incentive game design can increase users’ intentions to remain engaged as they feel that they can perform as well as the top players, and they feel that they are clearly better than the underperforming players.</w:t>
      </w:r>
    </w:p>
    <w:p w14:paraId="787F651F" w14:textId="62C2B52E" w:rsidR="0021652D" w:rsidRPr="00B415E3" w:rsidRDefault="001B2301">
      <w:pPr>
        <w:spacing w:line="480" w:lineRule="auto"/>
        <w:rPr>
          <w:sz w:val="24"/>
          <w:szCs w:val="24"/>
        </w:rPr>
      </w:pPr>
      <w:r w:rsidRPr="00B415E3">
        <w:rPr>
          <w:sz w:val="24"/>
          <w:szCs w:val="24"/>
        </w:rPr>
        <w:lastRenderedPageBreak/>
        <w:t xml:space="preserve">Besides online social games, our findings can be applied to other IS platforms with potentially similar promise. For example, Qiu et al. (2017) emphasize the need for high quality contribution in prediction markets in order to ensure accurate and reliable results. They find that increasing the audience which the market is targeting and that endorsing in different ways individuals of different capability levels can lead to a more reliable outcome. The findings of this paper could be useful in </w:t>
      </w:r>
      <w:r w:rsidRPr="001639DD">
        <w:rPr>
          <w:sz w:val="24"/>
          <w:szCs w:val="24"/>
        </w:rPr>
        <w:t>prediction markets</w:t>
      </w:r>
      <w:r w:rsidR="001639DD" w:rsidRPr="001639DD">
        <w:rPr>
          <w:sz w:val="24"/>
          <w:szCs w:val="24"/>
        </w:rPr>
        <w:t xml:space="preserve"> or serious games (</w:t>
      </w:r>
      <w:r w:rsidR="001639DD" w:rsidRPr="001639DD">
        <w:rPr>
          <w:sz w:val="24"/>
          <w:szCs w:val="24"/>
          <w:lang w:val="en-US"/>
        </w:rPr>
        <w:t>Ketter et al. 2016)</w:t>
      </w:r>
      <w:r w:rsidRPr="001639DD">
        <w:rPr>
          <w:sz w:val="24"/>
          <w:szCs w:val="24"/>
        </w:rPr>
        <w:t>,</w:t>
      </w:r>
      <w:r w:rsidRPr="00B415E3">
        <w:rPr>
          <w:sz w:val="24"/>
          <w:szCs w:val="24"/>
        </w:rPr>
        <w:t xml:space="preserve"> as these </w:t>
      </w:r>
      <w:r w:rsidR="001639DD">
        <w:rPr>
          <w:sz w:val="24"/>
          <w:szCs w:val="24"/>
        </w:rPr>
        <w:t>environments</w:t>
      </w:r>
      <w:r w:rsidRPr="00B415E3">
        <w:rPr>
          <w:sz w:val="24"/>
          <w:szCs w:val="24"/>
        </w:rPr>
        <w:t xml:space="preserve"> can benefit from their social dynamics to strengthen continuance intentions. To operationalize this, prediction market designers could set up upward identification or downward contrast structures, such as leaderboards, notifications about comparisons with high performing individuals, etc., to “make trading more social”, as Qiu et al. (2017) point out.</w:t>
      </w:r>
    </w:p>
    <w:p w14:paraId="4A575E42" w14:textId="77777777" w:rsidR="0021652D" w:rsidRPr="00B415E3" w:rsidRDefault="001B2301">
      <w:pPr>
        <w:spacing w:line="480" w:lineRule="auto"/>
        <w:rPr>
          <w:sz w:val="24"/>
          <w:szCs w:val="24"/>
        </w:rPr>
      </w:pPr>
      <w:r w:rsidRPr="00B415E3">
        <w:rPr>
          <w:sz w:val="24"/>
          <w:szCs w:val="24"/>
        </w:rPr>
        <w:t>Another important IS domain where the presented results can help incentivize continuance is the open source communities. Wu et al. (2007) show that software developers can be motivated to continue being engaged with the open source community via emphasizing certain individual traits and characteristics. We argue that adding on these traits social comparison elements that induce upward identification or downward contrast within the online community has the potential to increase continuance behaviours. For example, the open source community manager could design personalized leaderboards where the similarities of a user with the top performers, or the dissimilarities with poor performers are emphasized. In addition, Boons et al. (2015) show that feelings of pride can act as drivers in crowdsourcing platforms. Thus, using the presented social comparison elements, a crowdsourcing platform manager can establish a clear feeling of pride for users that need further incentives to remain engaged.</w:t>
      </w:r>
    </w:p>
    <w:p w14:paraId="14C7D788" w14:textId="1AE341F7" w:rsidR="0021652D" w:rsidRPr="00B415E3" w:rsidRDefault="001B2301">
      <w:pPr>
        <w:spacing w:line="480" w:lineRule="auto"/>
        <w:rPr>
          <w:sz w:val="24"/>
          <w:szCs w:val="24"/>
        </w:rPr>
      </w:pPr>
      <w:r w:rsidRPr="00B415E3">
        <w:rPr>
          <w:sz w:val="24"/>
          <w:szCs w:val="24"/>
        </w:rPr>
        <w:t>Our findings can be also capitalized by charity organizations to incentivize fundraising and philanthropy in general. As Castilo et al. (2014) state</w:t>
      </w:r>
      <w:r w:rsidR="00C83294">
        <w:rPr>
          <w:sz w:val="24"/>
          <w:szCs w:val="24"/>
        </w:rPr>
        <w:t>,</w:t>
      </w:r>
      <w:r w:rsidRPr="00B415E3">
        <w:rPr>
          <w:sz w:val="24"/>
          <w:szCs w:val="24"/>
        </w:rPr>
        <w:t xml:space="preserve"> “Charities can increase donations by simply </w:t>
      </w:r>
      <w:r w:rsidRPr="00B415E3">
        <w:rPr>
          <w:sz w:val="24"/>
          <w:szCs w:val="24"/>
        </w:rPr>
        <w:lastRenderedPageBreak/>
        <w:t>asking donors to share that they have donated.” Thus, using our social comparison findings, charity foundations can increase donation targets even more by establishing upward identifications of donors with high reputable individuals within their social network that have contributed significant donations. In this way, in addition to utilizing the social presence to achieve higher donation targets, charity organizations can benefit from the underlying dynamics within this social environment.</w:t>
      </w:r>
    </w:p>
    <w:p w14:paraId="51A42FCE" w14:textId="77777777" w:rsidR="0021652D" w:rsidRPr="00B415E3" w:rsidRDefault="001B2301">
      <w:pPr>
        <w:spacing w:line="480" w:lineRule="auto"/>
        <w:rPr>
          <w:sz w:val="24"/>
          <w:szCs w:val="24"/>
        </w:rPr>
      </w:pPr>
      <w:r w:rsidRPr="00B415E3">
        <w:rPr>
          <w:sz w:val="24"/>
          <w:szCs w:val="24"/>
        </w:rPr>
        <w:t>Moreover, social networking sites (SNS) (Lin et al. 2017) could potentially benefit from our findings. Lin et al. (2017) use the technology acceptance model (TAM) to show which individual factors affect continuance in social networking sites and show that their results differ across gender. Possibly, continuance in SNS could become stronger by showing to users the activities of other users they identify with, such as attendance of events, etc. Similarly, the presented results could be used in social virtual worlds (Zhou et al. 2014). Zhou et al. (2014) show that social benefits are expected to affect continuance in social virtual worlds, but they do not delve deeper into this dimension. One potential extension would be to implement the presented social comparison characteristics in order to make these social benefits more prominent for the users and induce a stronger continuance behaviour.</w:t>
      </w:r>
    </w:p>
    <w:p w14:paraId="22CAE2E8" w14:textId="6CC6016B" w:rsidR="0021652D" w:rsidRPr="00B415E3" w:rsidRDefault="001B2301">
      <w:pPr>
        <w:spacing w:line="480" w:lineRule="auto"/>
        <w:rPr>
          <w:sz w:val="24"/>
          <w:szCs w:val="24"/>
        </w:rPr>
      </w:pPr>
      <w:r w:rsidRPr="00B415E3">
        <w:rPr>
          <w:sz w:val="24"/>
          <w:szCs w:val="24"/>
        </w:rPr>
        <w:t>In addition, Silic et al. (20</w:t>
      </w:r>
      <w:r w:rsidR="00715B2B">
        <w:rPr>
          <w:sz w:val="24"/>
          <w:szCs w:val="24"/>
        </w:rPr>
        <w:t>20</w:t>
      </w:r>
      <w:r w:rsidRPr="00B415E3">
        <w:rPr>
          <w:sz w:val="24"/>
          <w:szCs w:val="24"/>
        </w:rPr>
        <w:t>) show that gamified environments can significantly improve effectiveness of cybersecurity training within organizations. Specifically, they show that different gamification elements during corporate cybersecurity training can increase the intention to follow security policies. Consequently, our findings can be applied in such a system, as employees within the company can compare with one another. Inducing the right comparisons among them can establish feelings of joy or hope that they can perform well, as opposed to threats or other penalties that are shown not to work well (Silic et al. 20</w:t>
      </w:r>
      <w:r w:rsidR="00715B2B">
        <w:rPr>
          <w:sz w:val="24"/>
          <w:szCs w:val="24"/>
        </w:rPr>
        <w:t>20</w:t>
      </w:r>
      <w:r w:rsidRPr="00B415E3">
        <w:rPr>
          <w:sz w:val="24"/>
          <w:szCs w:val="24"/>
        </w:rPr>
        <w:t>).</w:t>
      </w:r>
    </w:p>
    <w:p w14:paraId="5C6F956D" w14:textId="77777777" w:rsidR="0021652D" w:rsidRPr="00B415E3" w:rsidRDefault="001B2301">
      <w:pPr>
        <w:spacing w:line="480" w:lineRule="auto"/>
        <w:rPr>
          <w:sz w:val="24"/>
          <w:szCs w:val="24"/>
        </w:rPr>
      </w:pPr>
      <w:r w:rsidRPr="00B415E3">
        <w:rPr>
          <w:sz w:val="24"/>
          <w:szCs w:val="24"/>
        </w:rPr>
        <w:lastRenderedPageBreak/>
        <w:t xml:space="preserve">Finally, social shopping websites can make use of our results to increase continuance of use of their platform. Shen (2012) shows that social presence is associated with higher probabilities of continuance in a social commerce platform. We argue that creating concrete social comparisons (such as notifications about friends who are frequent shoppers, or about specific products that friends purchased from the platform) to benefit from this social presence will indeed contribute to the users’ continuance behaviour. </w:t>
      </w:r>
    </w:p>
    <w:p w14:paraId="3FC46AD0" w14:textId="77777777" w:rsidR="0021652D" w:rsidRPr="00B415E3" w:rsidRDefault="001B2301">
      <w:pPr>
        <w:pStyle w:val="Heading1"/>
        <w:spacing w:line="480" w:lineRule="auto"/>
        <w:ind w:left="0" w:firstLine="0"/>
        <w:rPr>
          <w:color w:val="auto"/>
        </w:rPr>
      </w:pPr>
      <w:r w:rsidRPr="00B415E3">
        <w:rPr>
          <w:color w:val="auto"/>
        </w:rPr>
        <w:t xml:space="preserve">8 Limitations and Future Research </w:t>
      </w:r>
    </w:p>
    <w:p w14:paraId="6D427CD6" w14:textId="77777777" w:rsidR="0021652D" w:rsidRPr="00B415E3" w:rsidRDefault="001B2301">
      <w:pPr>
        <w:spacing w:line="480" w:lineRule="auto"/>
        <w:rPr>
          <w:sz w:val="24"/>
          <w:szCs w:val="24"/>
        </w:rPr>
      </w:pPr>
      <w:r w:rsidRPr="00B415E3">
        <w:rPr>
          <w:sz w:val="24"/>
          <w:szCs w:val="24"/>
        </w:rPr>
        <w:t>In this analysis, there are certain limitations that open pathways for future research. The first variable was the self-reported social comparison perception reported by participants. That could have potentially included some self-reporting bias. In the future, it would be interesting to investigate the presence of such a bias and limit it by using the right instruments. Moreover, since the data from the present study are cross-sectional in nature, in the future we plan to conduct longitudinal analysis to elucidate the temporal precedence of the variables.</w:t>
      </w:r>
    </w:p>
    <w:p w14:paraId="2ABBFE54" w14:textId="77777777" w:rsidR="0021652D" w:rsidRPr="00B415E3" w:rsidRDefault="001B2301">
      <w:pPr>
        <w:spacing w:line="480" w:lineRule="auto"/>
        <w:rPr>
          <w:sz w:val="24"/>
          <w:szCs w:val="24"/>
        </w:rPr>
      </w:pPr>
      <w:r w:rsidRPr="00B415E3">
        <w:rPr>
          <w:sz w:val="24"/>
          <w:szCs w:val="24"/>
        </w:rPr>
        <w:t>Through the present analysis we provide academic evidence of how social comparison experiences in online social games can increase gaming continuance, offering useful insights to the game industry stakeholders. Future researchers can build on this evidence and extend the research model by including more variables related to players’ behaviour and intentions to remain engaged. That can have a significant impact on the online social game industry, since maintaining a customer base instead of approaching new customers is far more cost effective for online social game designers.</w:t>
      </w:r>
    </w:p>
    <w:p w14:paraId="0918953D" w14:textId="77777777" w:rsidR="0021652D" w:rsidRPr="00B415E3" w:rsidRDefault="001B2301">
      <w:pPr>
        <w:spacing w:after="240" w:line="480" w:lineRule="auto"/>
        <w:rPr>
          <w:sz w:val="24"/>
          <w:szCs w:val="24"/>
        </w:rPr>
      </w:pPr>
      <w:r w:rsidRPr="00B415E3">
        <w:rPr>
          <w:sz w:val="24"/>
          <w:szCs w:val="24"/>
        </w:rPr>
        <w:t xml:space="preserve">In addition, in this paper, we aim to demonstrate that social comparison has an effect on continuance in online social games. In this respect, many social comparison features (such as </w:t>
      </w:r>
      <w:r w:rsidRPr="00B415E3">
        <w:rPr>
          <w:sz w:val="24"/>
          <w:szCs w:val="24"/>
        </w:rPr>
        <w:lastRenderedPageBreak/>
        <w:t>leaderboards, level maps, etc.) may influence continuance. However, we have not disentangled the effect of each individual feature, as this would require a different research design. Future work could further pursue the direction of disentangling the effects of different game features and implement them along the social comparison directions that we have highlighted as impactful.</w:t>
      </w:r>
    </w:p>
    <w:p w14:paraId="0F220BE5" w14:textId="1B666884" w:rsidR="0021652D" w:rsidRPr="00B415E3" w:rsidRDefault="001B2301">
      <w:pPr>
        <w:spacing w:line="480" w:lineRule="auto"/>
        <w:rPr>
          <w:sz w:val="24"/>
          <w:szCs w:val="24"/>
        </w:rPr>
      </w:pPr>
      <w:r w:rsidRPr="00B415E3">
        <w:rPr>
          <w:sz w:val="24"/>
          <w:szCs w:val="24"/>
        </w:rPr>
        <w:t xml:space="preserve">Furthermore, inducing the right interpretation of a leaderboard or a level map, for example identification rather than contrast response, the concepts of ‘priming’ or ‘social priming’ can be leveraged (Bhagwatwar et al. 2017). Priming refers to the nonconscious activation of a mental representation by external stimuli before carrying out a task, affecting information processing style and behaviour (Bargh et al. 2000). Previous studies (e.g., Buunk et al. 2011) have suggested that priming effects may affect social comparison orientation. Further research will also be needed to understand the social comparison phenomenon by, for example, exploring social identity theory which relates to the desire to belong to a group (Taifel and Turner </w:t>
      </w:r>
      <w:r w:rsidR="00C83294">
        <w:rPr>
          <w:sz w:val="24"/>
          <w:szCs w:val="24"/>
        </w:rPr>
        <w:t>,</w:t>
      </w:r>
      <w:r w:rsidRPr="00B415E3">
        <w:rPr>
          <w:sz w:val="24"/>
          <w:szCs w:val="24"/>
        </w:rPr>
        <w:t xml:space="preserve">1979). Social identity theory states that individuals identify themselves by the groups to which they belong and perceive and judge others by their group memberships. Thus, the phenomenon of group-based comparison is central to social identity theory. </w:t>
      </w:r>
    </w:p>
    <w:p w14:paraId="282F15A7" w14:textId="495DE265" w:rsidR="0021652D" w:rsidRPr="00B415E3" w:rsidRDefault="001B2301">
      <w:pPr>
        <w:spacing w:line="480" w:lineRule="auto"/>
        <w:rPr>
          <w:sz w:val="24"/>
          <w:szCs w:val="24"/>
        </w:rPr>
      </w:pPr>
      <w:r w:rsidRPr="00B415E3">
        <w:rPr>
          <w:sz w:val="24"/>
          <w:szCs w:val="24"/>
        </w:rPr>
        <w:t xml:space="preserve">Finally, in this study we chose to be agnostic to the underlying social relationships of the players. It would be interesting for future work to investigate how different social relationships affect continuance. For example, co-workers might compete, whereas friends outside of work might have different comparison dynamics. In a similar vein, this work was agnostic to the information of subjects that refused to play the game. Hence, future research can attempt to request information from subjects that refuse to participate, yet they are willing to share their information and reasons for not participating. Such an analysis can also shed light on the characteristics of players that do not adopt such online social games. </w:t>
      </w:r>
    </w:p>
    <w:p w14:paraId="315E69C2" w14:textId="77777777" w:rsidR="0021652D" w:rsidRPr="00B415E3" w:rsidRDefault="001B2301">
      <w:pPr>
        <w:pStyle w:val="Heading1"/>
        <w:spacing w:line="480" w:lineRule="auto"/>
        <w:rPr>
          <w:color w:val="auto"/>
        </w:rPr>
      </w:pPr>
      <w:r w:rsidRPr="00B415E3">
        <w:rPr>
          <w:color w:val="auto"/>
        </w:rPr>
        <w:lastRenderedPageBreak/>
        <w:t>References</w:t>
      </w:r>
    </w:p>
    <w:p w14:paraId="0E0BF2E6" w14:textId="77777777" w:rsidR="0021652D" w:rsidRPr="00B415E3" w:rsidRDefault="001B2301">
      <w:pPr>
        <w:rPr>
          <w:sz w:val="20"/>
          <w:szCs w:val="20"/>
        </w:rPr>
      </w:pPr>
      <w:r w:rsidRPr="00B415E3">
        <w:rPr>
          <w:sz w:val="20"/>
          <w:szCs w:val="20"/>
        </w:rPr>
        <w:t xml:space="preserve">Affleck, G., &amp; Tennen, H. (1997). Social comparison as a coping process: A critical review and application to chronic pain disorders. </w:t>
      </w:r>
      <w:r w:rsidRPr="009353A6">
        <w:rPr>
          <w:i/>
          <w:iCs/>
          <w:sz w:val="20"/>
          <w:szCs w:val="20"/>
        </w:rPr>
        <w:t>Health, coping, and well-being: Perspectives from social comparison theory</w:t>
      </w:r>
      <w:r w:rsidRPr="00B415E3">
        <w:rPr>
          <w:sz w:val="20"/>
          <w:szCs w:val="20"/>
        </w:rPr>
        <w:t>, 263-298.</w:t>
      </w:r>
    </w:p>
    <w:p w14:paraId="7B72169A" w14:textId="77777777" w:rsidR="0021652D" w:rsidRPr="00B415E3" w:rsidRDefault="001B2301">
      <w:pPr>
        <w:rPr>
          <w:sz w:val="20"/>
          <w:szCs w:val="20"/>
        </w:rPr>
      </w:pPr>
      <w:r w:rsidRPr="00B415E3">
        <w:rPr>
          <w:sz w:val="20"/>
          <w:szCs w:val="20"/>
        </w:rPr>
        <w:t xml:space="preserve">Alzahrani, A. I., Mahmud, I., Ramayah, T., Alfarraj, O., &amp; Alalwan, N. (2017) Extending the Theory of Planned Behaviour (TPB) to Explain Online Game Playing among Malaysian Undergraduate Students. </w:t>
      </w:r>
      <w:r w:rsidRPr="00F626D4">
        <w:rPr>
          <w:i/>
          <w:iCs/>
          <w:sz w:val="20"/>
          <w:szCs w:val="20"/>
        </w:rPr>
        <w:t>Telematics and Informatics</w:t>
      </w:r>
      <w:r w:rsidRPr="00B415E3">
        <w:rPr>
          <w:sz w:val="20"/>
          <w:szCs w:val="20"/>
        </w:rPr>
        <w:t>, 34(4):239-251.</w:t>
      </w:r>
    </w:p>
    <w:p w14:paraId="62DA02DC" w14:textId="7C2A93BC" w:rsidR="0021652D" w:rsidRPr="00B415E3" w:rsidRDefault="001B2301">
      <w:pPr>
        <w:rPr>
          <w:sz w:val="20"/>
          <w:szCs w:val="20"/>
        </w:rPr>
      </w:pPr>
      <w:r w:rsidRPr="00B415E3">
        <w:rPr>
          <w:sz w:val="20"/>
          <w:szCs w:val="20"/>
        </w:rPr>
        <w:t xml:space="preserve">Anderson, E. S., Winett, R. A., &amp; Wojcik, J. R. (2007). Self-regulation, self-efficacy, outcome expectations, and social support: social cognitive theory and nutrition behaviour. </w:t>
      </w:r>
      <w:r w:rsidRPr="00B415E3">
        <w:rPr>
          <w:i/>
          <w:sz w:val="20"/>
          <w:szCs w:val="20"/>
        </w:rPr>
        <w:t>Annals of behavioural medicine</w:t>
      </w:r>
      <w:r w:rsidRPr="00B415E3">
        <w:rPr>
          <w:sz w:val="20"/>
          <w:szCs w:val="20"/>
        </w:rPr>
        <w:t xml:space="preserve">, </w:t>
      </w:r>
      <w:r w:rsidRPr="00B415E3">
        <w:rPr>
          <w:i/>
          <w:sz w:val="20"/>
          <w:szCs w:val="20"/>
        </w:rPr>
        <w:t>34</w:t>
      </w:r>
      <w:r w:rsidRPr="00B415E3">
        <w:rPr>
          <w:sz w:val="20"/>
          <w:szCs w:val="20"/>
        </w:rPr>
        <w:t>(3)</w:t>
      </w:r>
      <w:r w:rsidR="006A2298">
        <w:rPr>
          <w:sz w:val="20"/>
          <w:szCs w:val="20"/>
        </w:rPr>
        <w:t>:</w:t>
      </w:r>
      <w:r w:rsidRPr="00B415E3">
        <w:rPr>
          <w:sz w:val="20"/>
          <w:szCs w:val="20"/>
        </w:rPr>
        <w:t xml:space="preserve"> 304-312.</w:t>
      </w:r>
    </w:p>
    <w:p w14:paraId="60ACA7EF" w14:textId="6DB13C50" w:rsidR="0021652D" w:rsidRPr="00B415E3" w:rsidRDefault="001B2301">
      <w:pPr>
        <w:rPr>
          <w:sz w:val="20"/>
          <w:szCs w:val="20"/>
        </w:rPr>
      </w:pPr>
      <w:r w:rsidRPr="00B415E3">
        <w:rPr>
          <w:sz w:val="20"/>
          <w:szCs w:val="20"/>
        </w:rPr>
        <w:t xml:space="preserve">Arigo, D., Suls, J., </w:t>
      </w:r>
      <w:r w:rsidR="002C179E">
        <w:rPr>
          <w:sz w:val="20"/>
          <w:szCs w:val="20"/>
        </w:rPr>
        <w:t>&amp;</w:t>
      </w:r>
      <w:r w:rsidRPr="00B415E3">
        <w:rPr>
          <w:sz w:val="20"/>
          <w:szCs w:val="20"/>
        </w:rPr>
        <w:t xml:space="preserve">Smyth, J. (2012) Social comparisons and chronic illness: research synthesis and clinical implications. </w:t>
      </w:r>
      <w:r w:rsidRPr="00F626D4">
        <w:rPr>
          <w:i/>
          <w:iCs/>
          <w:sz w:val="20"/>
          <w:szCs w:val="20"/>
        </w:rPr>
        <w:t>Health Psychology Review</w:t>
      </w:r>
      <w:r w:rsidRPr="00B415E3">
        <w:rPr>
          <w:sz w:val="20"/>
          <w:szCs w:val="20"/>
        </w:rPr>
        <w:t>, 8(2):154-214.</w:t>
      </w:r>
    </w:p>
    <w:p w14:paraId="5AB358E2" w14:textId="77777777" w:rsidR="0021652D" w:rsidRPr="00B415E3" w:rsidRDefault="001B2301">
      <w:pPr>
        <w:rPr>
          <w:sz w:val="20"/>
          <w:szCs w:val="20"/>
        </w:rPr>
      </w:pPr>
      <w:r w:rsidRPr="00B415E3">
        <w:rPr>
          <w:sz w:val="20"/>
          <w:szCs w:val="20"/>
        </w:rPr>
        <w:t xml:space="preserve">Avgerou, C. (2013) Social mechanisms for causal explanation in social theory based IS research. </w:t>
      </w:r>
      <w:r w:rsidRPr="006A2298">
        <w:rPr>
          <w:i/>
          <w:iCs/>
          <w:sz w:val="20"/>
          <w:szCs w:val="20"/>
        </w:rPr>
        <w:t xml:space="preserve">Journal of the Association for Information Systems, </w:t>
      </w:r>
      <w:r w:rsidRPr="00B415E3">
        <w:rPr>
          <w:sz w:val="20"/>
          <w:szCs w:val="20"/>
        </w:rPr>
        <w:t>14(8):399-419.</w:t>
      </w:r>
    </w:p>
    <w:p w14:paraId="2D65C6DF" w14:textId="77777777" w:rsidR="0021652D" w:rsidRPr="00B415E3" w:rsidRDefault="001B2301">
      <w:pPr>
        <w:rPr>
          <w:sz w:val="20"/>
          <w:szCs w:val="20"/>
        </w:rPr>
      </w:pPr>
      <w:r w:rsidRPr="00B415E3">
        <w:rPr>
          <w:sz w:val="20"/>
          <w:szCs w:val="20"/>
        </w:rPr>
        <w:t xml:space="preserve">Bandura, A. (1977). Self-efficacy: Toward a unifying theory of behavioural change. </w:t>
      </w:r>
      <w:r w:rsidRPr="0020081F">
        <w:rPr>
          <w:i/>
          <w:iCs/>
          <w:sz w:val="20"/>
          <w:szCs w:val="20"/>
        </w:rPr>
        <w:t>Psychological Review</w:t>
      </w:r>
      <w:r w:rsidRPr="00B415E3">
        <w:rPr>
          <w:sz w:val="20"/>
          <w:szCs w:val="20"/>
        </w:rPr>
        <w:t>, 84(2):191-215.</w:t>
      </w:r>
    </w:p>
    <w:p w14:paraId="348B1AA6" w14:textId="77777777" w:rsidR="0021652D" w:rsidRPr="00B415E3" w:rsidRDefault="001B2301">
      <w:pPr>
        <w:rPr>
          <w:sz w:val="20"/>
          <w:szCs w:val="20"/>
        </w:rPr>
      </w:pPr>
      <w:r w:rsidRPr="00B415E3">
        <w:rPr>
          <w:sz w:val="20"/>
          <w:szCs w:val="20"/>
        </w:rPr>
        <w:t xml:space="preserve">Bandura, A. (1981). Self-referent thought: A developmental analysis of self-efficacy. In J. H. Flavell &amp; L. Ross (Eds.), </w:t>
      </w:r>
      <w:r w:rsidRPr="00EF0C25">
        <w:rPr>
          <w:i/>
          <w:iCs/>
          <w:sz w:val="20"/>
          <w:szCs w:val="20"/>
        </w:rPr>
        <w:t>Social cognitive development: Frontiers and possible futures</w:t>
      </w:r>
      <w:r w:rsidRPr="00B415E3">
        <w:rPr>
          <w:sz w:val="20"/>
          <w:szCs w:val="20"/>
        </w:rPr>
        <w:t xml:space="preserve"> (pp. 200-239). Cambridge: Cambridge University Press.</w:t>
      </w:r>
    </w:p>
    <w:p w14:paraId="578A30A3" w14:textId="77777777" w:rsidR="0021652D" w:rsidRPr="00B415E3" w:rsidRDefault="001B2301">
      <w:pPr>
        <w:rPr>
          <w:sz w:val="20"/>
          <w:szCs w:val="20"/>
        </w:rPr>
      </w:pPr>
      <w:r w:rsidRPr="00B415E3">
        <w:rPr>
          <w:sz w:val="20"/>
          <w:szCs w:val="20"/>
        </w:rPr>
        <w:t>Bandura, A. (1986). Social foundations of thought and action: A social cognitive theory. Englewood Cliffs, NJ: Prentice-Hall.</w:t>
      </w:r>
    </w:p>
    <w:p w14:paraId="6B78D15A" w14:textId="77777777" w:rsidR="0021652D" w:rsidRPr="00B415E3" w:rsidRDefault="001B2301">
      <w:pPr>
        <w:rPr>
          <w:sz w:val="20"/>
          <w:szCs w:val="20"/>
        </w:rPr>
      </w:pPr>
      <w:r w:rsidRPr="00B415E3">
        <w:rPr>
          <w:sz w:val="20"/>
          <w:szCs w:val="20"/>
        </w:rPr>
        <w:t xml:space="preserve">Bandura, A., &amp; Locke, E. A. (2003). Negative self-efficacy and goal effects revisited. </w:t>
      </w:r>
      <w:r w:rsidRPr="00EF0C25">
        <w:rPr>
          <w:i/>
          <w:iCs/>
          <w:sz w:val="20"/>
          <w:szCs w:val="20"/>
        </w:rPr>
        <w:t>Journal of Applied Psychology</w:t>
      </w:r>
      <w:r w:rsidRPr="00B415E3">
        <w:rPr>
          <w:sz w:val="20"/>
          <w:szCs w:val="20"/>
        </w:rPr>
        <w:t>, 88(1):87-99.</w:t>
      </w:r>
    </w:p>
    <w:p w14:paraId="1504585E" w14:textId="77777777" w:rsidR="0021652D" w:rsidRPr="00B415E3" w:rsidRDefault="001B2301">
      <w:pPr>
        <w:rPr>
          <w:sz w:val="20"/>
          <w:szCs w:val="20"/>
        </w:rPr>
      </w:pPr>
      <w:r w:rsidRPr="00B415E3">
        <w:rPr>
          <w:sz w:val="20"/>
          <w:szCs w:val="20"/>
        </w:rPr>
        <w:t xml:space="preserve">Bandura, A. (2004). Health promotion by social cognitive means. </w:t>
      </w:r>
      <w:r w:rsidRPr="00B23727">
        <w:rPr>
          <w:i/>
          <w:iCs/>
          <w:sz w:val="20"/>
          <w:szCs w:val="20"/>
        </w:rPr>
        <w:t>Health Education &amp; Behaviour</w:t>
      </w:r>
      <w:r w:rsidRPr="00B415E3">
        <w:rPr>
          <w:sz w:val="20"/>
          <w:szCs w:val="20"/>
        </w:rPr>
        <w:t>, 31:143-164.</w:t>
      </w:r>
    </w:p>
    <w:p w14:paraId="62BECC90" w14:textId="77777777" w:rsidR="0021652D" w:rsidRPr="00B415E3" w:rsidRDefault="001B2301">
      <w:pPr>
        <w:rPr>
          <w:sz w:val="20"/>
          <w:szCs w:val="20"/>
        </w:rPr>
      </w:pPr>
      <w:r w:rsidRPr="00B415E3">
        <w:rPr>
          <w:sz w:val="20"/>
          <w:szCs w:val="20"/>
        </w:rPr>
        <w:t>Bargh J. A., &amp; Chartrand T. L. (2000). The mind in the middle: A practical guide to priming and automaticity research. In: Reis H. T., editor. Handbook of research methods in social and personality psychology. New York, NY: Cambridge University Press; 2000. pp. 253–285.</w:t>
      </w:r>
    </w:p>
    <w:p w14:paraId="4CBA95EA" w14:textId="77777777" w:rsidR="0021652D" w:rsidRPr="00B415E3" w:rsidRDefault="001B2301">
      <w:pPr>
        <w:rPr>
          <w:sz w:val="20"/>
          <w:szCs w:val="20"/>
        </w:rPr>
      </w:pPr>
      <w:r w:rsidRPr="00B415E3">
        <w:rPr>
          <w:sz w:val="20"/>
          <w:szCs w:val="20"/>
        </w:rPr>
        <w:t xml:space="preserve">Beach, S. R., &amp; Tesser, A. (2000). Self-evaluation maintenance and evolution: Some speculative notes. In J. Suls &amp; L. Wheeler (Eds.), </w:t>
      </w:r>
      <w:r w:rsidRPr="00274281">
        <w:rPr>
          <w:i/>
          <w:iCs/>
          <w:sz w:val="20"/>
          <w:szCs w:val="20"/>
        </w:rPr>
        <w:t>Handbook of social comparison: Theory and research</w:t>
      </w:r>
      <w:r w:rsidRPr="00B415E3">
        <w:rPr>
          <w:sz w:val="20"/>
          <w:szCs w:val="20"/>
        </w:rPr>
        <w:t xml:space="preserve"> (pp. 123–140). New York: Kluwer Academic/Plenum Publishers.</w:t>
      </w:r>
    </w:p>
    <w:p w14:paraId="2D16178A" w14:textId="77777777" w:rsidR="0021652D" w:rsidRPr="00B415E3" w:rsidRDefault="001B2301">
      <w:pPr>
        <w:rPr>
          <w:sz w:val="20"/>
          <w:szCs w:val="20"/>
        </w:rPr>
      </w:pPr>
      <w:r w:rsidRPr="00B415E3">
        <w:rPr>
          <w:sz w:val="20"/>
          <w:szCs w:val="20"/>
        </w:rPr>
        <w:t xml:space="preserve">Beaumont, J. G., &amp; Kenealy, P. M. (2004). Quality of Life Perceptions and Social Comparisons in Healthy Old Age. </w:t>
      </w:r>
      <w:r w:rsidRPr="00274281">
        <w:rPr>
          <w:i/>
          <w:iCs/>
          <w:sz w:val="20"/>
          <w:szCs w:val="20"/>
        </w:rPr>
        <w:t>Aging &amp; Society</w:t>
      </w:r>
      <w:r w:rsidRPr="00B415E3">
        <w:rPr>
          <w:sz w:val="20"/>
          <w:szCs w:val="20"/>
        </w:rPr>
        <w:t>, 24:755-769.</w:t>
      </w:r>
    </w:p>
    <w:p w14:paraId="4391C154" w14:textId="1E819924" w:rsidR="0021652D" w:rsidRPr="00B415E3" w:rsidRDefault="001B2301">
      <w:pPr>
        <w:rPr>
          <w:sz w:val="20"/>
          <w:szCs w:val="20"/>
        </w:rPr>
      </w:pPr>
      <w:r w:rsidRPr="00B415E3">
        <w:rPr>
          <w:sz w:val="20"/>
          <w:szCs w:val="20"/>
        </w:rPr>
        <w:t xml:space="preserve">Benight, C. C., &amp; Bandura, A. (2004). Social cognitive theory of posttraumatic recovery: The role of perceived self-efficacy. </w:t>
      </w:r>
      <w:r w:rsidRPr="00B415E3">
        <w:rPr>
          <w:i/>
          <w:sz w:val="20"/>
          <w:szCs w:val="20"/>
        </w:rPr>
        <w:t>Behaviour Research and Therapy</w:t>
      </w:r>
      <w:r w:rsidRPr="00B415E3">
        <w:rPr>
          <w:sz w:val="20"/>
          <w:szCs w:val="20"/>
        </w:rPr>
        <w:t xml:space="preserve">, </w:t>
      </w:r>
      <w:r w:rsidRPr="00B415E3">
        <w:rPr>
          <w:i/>
          <w:sz w:val="20"/>
          <w:szCs w:val="20"/>
        </w:rPr>
        <w:t>42</w:t>
      </w:r>
      <w:r w:rsidRPr="00B415E3">
        <w:rPr>
          <w:sz w:val="20"/>
          <w:szCs w:val="20"/>
        </w:rPr>
        <w:t>(10)</w:t>
      </w:r>
      <w:r w:rsidR="00274281">
        <w:rPr>
          <w:sz w:val="20"/>
          <w:szCs w:val="20"/>
        </w:rPr>
        <w:t>:</w:t>
      </w:r>
      <w:r w:rsidRPr="00B415E3">
        <w:rPr>
          <w:sz w:val="20"/>
          <w:szCs w:val="20"/>
        </w:rPr>
        <w:t xml:space="preserve"> 1129-1148.</w:t>
      </w:r>
    </w:p>
    <w:p w14:paraId="49B29632" w14:textId="42480734" w:rsidR="0021652D" w:rsidRPr="00B415E3" w:rsidRDefault="001B2301">
      <w:pPr>
        <w:rPr>
          <w:sz w:val="20"/>
          <w:szCs w:val="20"/>
        </w:rPr>
      </w:pPr>
      <w:r w:rsidRPr="00B415E3">
        <w:rPr>
          <w:sz w:val="20"/>
          <w:szCs w:val="20"/>
        </w:rPr>
        <w:t xml:space="preserve">Betz, N. E. (2000). Self-efficacy theory as a basis for career assessment. </w:t>
      </w:r>
      <w:r w:rsidRPr="00B415E3">
        <w:rPr>
          <w:i/>
          <w:sz w:val="20"/>
          <w:szCs w:val="20"/>
        </w:rPr>
        <w:t>Journal of Career Assessment</w:t>
      </w:r>
      <w:r w:rsidRPr="00B415E3">
        <w:rPr>
          <w:sz w:val="20"/>
          <w:szCs w:val="20"/>
        </w:rPr>
        <w:t xml:space="preserve">, </w:t>
      </w:r>
      <w:r w:rsidRPr="00B415E3">
        <w:rPr>
          <w:i/>
          <w:sz w:val="20"/>
          <w:szCs w:val="20"/>
        </w:rPr>
        <w:t>8</w:t>
      </w:r>
      <w:r w:rsidRPr="00B415E3">
        <w:rPr>
          <w:sz w:val="20"/>
          <w:szCs w:val="20"/>
        </w:rPr>
        <w:t>(3)</w:t>
      </w:r>
      <w:r w:rsidR="005A2936">
        <w:rPr>
          <w:sz w:val="20"/>
          <w:szCs w:val="20"/>
        </w:rPr>
        <w:t>:</w:t>
      </w:r>
      <w:r w:rsidRPr="00B415E3">
        <w:rPr>
          <w:sz w:val="20"/>
          <w:szCs w:val="20"/>
        </w:rPr>
        <w:t xml:space="preserve"> 205-222.</w:t>
      </w:r>
    </w:p>
    <w:p w14:paraId="6338DE78" w14:textId="747C364C" w:rsidR="0021652D" w:rsidRPr="00B415E3" w:rsidRDefault="001B2301">
      <w:pPr>
        <w:rPr>
          <w:sz w:val="20"/>
          <w:szCs w:val="20"/>
        </w:rPr>
      </w:pPr>
      <w:r w:rsidRPr="00B415E3">
        <w:rPr>
          <w:sz w:val="20"/>
          <w:szCs w:val="20"/>
        </w:rPr>
        <w:t xml:space="preserve">Betz, N. E. (2004). Contributions of self‐efficacy theory to career counseling: A personal perspective. </w:t>
      </w:r>
      <w:r w:rsidRPr="00B415E3">
        <w:rPr>
          <w:i/>
          <w:sz w:val="20"/>
          <w:szCs w:val="20"/>
        </w:rPr>
        <w:t>The Career Development Quarterly</w:t>
      </w:r>
      <w:r w:rsidRPr="00B415E3">
        <w:rPr>
          <w:sz w:val="20"/>
          <w:szCs w:val="20"/>
        </w:rPr>
        <w:t xml:space="preserve">, </w:t>
      </w:r>
      <w:r w:rsidRPr="00B415E3">
        <w:rPr>
          <w:i/>
          <w:sz w:val="20"/>
          <w:szCs w:val="20"/>
        </w:rPr>
        <w:t>52</w:t>
      </w:r>
      <w:r w:rsidRPr="00B415E3">
        <w:rPr>
          <w:sz w:val="20"/>
          <w:szCs w:val="20"/>
        </w:rPr>
        <w:t>(4)</w:t>
      </w:r>
      <w:r w:rsidR="005A2936">
        <w:rPr>
          <w:sz w:val="20"/>
          <w:szCs w:val="20"/>
        </w:rPr>
        <w:t>:</w:t>
      </w:r>
      <w:r w:rsidRPr="00B415E3">
        <w:rPr>
          <w:sz w:val="20"/>
          <w:szCs w:val="20"/>
        </w:rPr>
        <w:t xml:space="preserve"> 340-353.</w:t>
      </w:r>
    </w:p>
    <w:p w14:paraId="17BB876D" w14:textId="77777777" w:rsidR="0021652D" w:rsidRPr="00B415E3" w:rsidRDefault="001B2301">
      <w:pPr>
        <w:rPr>
          <w:sz w:val="20"/>
          <w:szCs w:val="20"/>
        </w:rPr>
      </w:pPr>
      <w:r w:rsidRPr="00B415E3">
        <w:rPr>
          <w:sz w:val="20"/>
          <w:szCs w:val="20"/>
        </w:rPr>
        <w:lastRenderedPageBreak/>
        <w:t xml:space="preserve">Bhagwatwar, A., Massey, A., &amp; Dennis, A. (2017). Contextual Priming and the Design of 3D Virtual Environments to Improve Group Ideation. </w:t>
      </w:r>
      <w:r w:rsidRPr="00B415E3">
        <w:rPr>
          <w:i/>
          <w:sz w:val="20"/>
          <w:szCs w:val="20"/>
        </w:rPr>
        <w:t>Information Systems Research</w:t>
      </w:r>
      <w:r w:rsidRPr="00B415E3">
        <w:rPr>
          <w:sz w:val="20"/>
          <w:szCs w:val="20"/>
        </w:rPr>
        <w:t>. 29(1): 169-185.</w:t>
      </w:r>
    </w:p>
    <w:p w14:paraId="10470E4F" w14:textId="653012D4" w:rsidR="0021652D" w:rsidRPr="00B415E3" w:rsidRDefault="001B2301">
      <w:pPr>
        <w:rPr>
          <w:sz w:val="20"/>
          <w:szCs w:val="20"/>
        </w:rPr>
      </w:pPr>
      <w:r w:rsidRPr="00B415E3">
        <w:rPr>
          <w:sz w:val="20"/>
          <w:szCs w:val="20"/>
        </w:rPr>
        <w:t xml:space="preserve">Boissicat, N., Pansu, P., Bouffard, T., </w:t>
      </w:r>
      <w:r w:rsidR="002C179E">
        <w:rPr>
          <w:sz w:val="20"/>
          <w:szCs w:val="20"/>
        </w:rPr>
        <w:t xml:space="preserve">&amp; </w:t>
      </w:r>
      <w:r w:rsidRPr="00B415E3">
        <w:rPr>
          <w:sz w:val="20"/>
          <w:szCs w:val="20"/>
        </w:rPr>
        <w:t xml:space="preserve">Cojn, F. (2012) Relation between perceived scholastic competence and social comparison mechanisms among elementary school children. </w:t>
      </w:r>
      <w:r w:rsidRPr="009F67FE">
        <w:rPr>
          <w:i/>
          <w:iCs/>
          <w:sz w:val="20"/>
          <w:szCs w:val="20"/>
        </w:rPr>
        <w:t>Social Psychology of Education</w:t>
      </w:r>
      <w:r w:rsidRPr="00B415E3">
        <w:rPr>
          <w:sz w:val="20"/>
          <w:szCs w:val="20"/>
        </w:rPr>
        <w:t>, 15(4):603-614.</w:t>
      </w:r>
    </w:p>
    <w:p w14:paraId="10FC9889" w14:textId="7595ED05" w:rsidR="0021652D" w:rsidRPr="00B415E3" w:rsidRDefault="001B2301">
      <w:pPr>
        <w:rPr>
          <w:sz w:val="20"/>
          <w:szCs w:val="20"/>
        </w:rPr>
      </w:pPr>
      <w:r w:rsidRPr="00B415E3">
        <w:rPr>
          <w:sz w:val="20"/>
          <w:szCs w:val="20"/>
        </w:rPr>
        <w:t xml:space="preserve">Boons, M., Stam, D., &amp; Barkema, H. G. (2015). Feelings of pride and respect as drivers of ongoing member activity on crowdsourcing platforms. </w:t>
      </w:r>
      <w:r w:rsidRPr="00B415E3">
        <w:rPr>
          <w:i/>
          <w:sz w:val="20"/>
          <w:szCs w:val="20"/>
        </w:rPr>
        <w:t>Journal of Management Studies</w:t>
      </w:r>
      <w:r w:rsidRPr="00B415E3">
        <w:rPr>
          <w:sz w:val="20"/>
          <w:szCs w:val="20"/>
        </w:rPr>
        <w:t xml:space="preserve">, </w:t>
      </w:r>
      <w:r w:rsidRPr="00B415E3">
        <w:rPr>
          <w:i/>
          <w:sz w:val="20"/>
          <w:szCs w:val="20"/>
        </w:rPr>
        <w:t>52</w:t>
      </w:r>
      <w:r w:rsidRPr="00B415E3">
        <w:rPr>
          <w:sz w:val="20"/>
          <w:szCs w:val="20"/>
        </w:rPr>
        <w:t>(6)</w:t>
      </w:r>
      <w:r w:rsidR="002B7E2C">
        <w:rPr>
          <w:sz w:val="20"/>
          <w:szCs w:val="20"/>
        </w:rPr>
        <w:t>:</w:t>
      </w:r>
      <w:r w:rsidRPr="00B415E3">
        <w:rPr>
          <w:sz w:val="20"/>
          <w:szCs w:val="20"/>
        </w:rPr>
        <w:t xml:space="preserve"> 717-741.</w:t>
      </w:r>
    </w:p>
    <w:p w14:paraId="45747D36" w14:textId="77777777" w:rsidR="0021652D" w:rsidRPr="00B415E3" w:rsidRDefault="001B2301">
      <w:pPr>
        <w:rPr>
          <w:sz w:val="20"/>
          <w:szCs w:val="20"/>
        </w:rPr>
      </w:pPr>
      <w:r w:rsidRPr="00B415E3">
        <w:rPr>
          <w:sz w:val="20"/>
          <w:szCs w:val="20"/>
        </w:rPr>
        <w:t xml:space="preserve">Brewer, M. B., &amp; Weber, J. G. (1994) Self-evaluation effects of interpersonal versus intergroup social comparison. </w:t>
      </w:r>
      <w:r w:rsidRPr="000339E7">
        <w:rPr>
          <w:i/>
          <w:iCs/>
          <w:sz w:val="20"/>
          <w:szCs w:val="20"/>
        </w:rPr>
        <w:t>Journal of Personality and Social Psychology</w:t>
      </w:r>
      <w:r w:rsidRPr="00B415E3">
        <w:rPr>
          <w:sz w:val="20"/>
          <w:szCs w:val="20"/>
        </w:rPr>
        <w:t>, 66:268–275.</w:t>
      </w:r>
    </w:p>
    <w:p w14:paraId="20F4585C" w14:textId="77777777" w:rsidR="0021652D" w:rsidRPr="00B415E3" w:rsidRDefault="001B2301">
      <w:pPr>
        <w:rPr>
          <w:sz w:val="20"/>
          <w:szCs w:val="20"/>
        </w:rPr>
      </w:pPr>
      <w:r w:rsidRPr="00B415E3">
        <w:rPr>
          <w:sz w:val="20"/>
          <w:szCs w:val="20"/>
        </w:rPr>
        <w:t xml:space="preserve">Buunk, A.P., &amp; Dijkstra, P. (2011). Does Attractiveness Sell? Women’s Attitude Toward a Product as a Function of Model Attractiveness, Gender Priming, and Social Comparison Orientation. </w:t>
      </w:r>
      <w:r w:rsidRPr="000339E7">
        <w:rPr>
          <w:i/>
          <w:iCs/>
          <w:sz w:val="20"/>
          <w:szCs w:val="20"/>
        </w:rPr>
        <w:t>Psychology &amp; Marketing</w:t>
      </w:r>
      <w:r w:rsidRPr="00B415E3">
        <w:rPr>
          <w:sz w:val="20"/>
          <w:szCs w:val="20"/>
        </w:rPr>
        <w:t>, 28(9):958-973.</w:t>
      </w:r>
    </w:p>
    <w:p w14:paraId="58EE8FCC" w14:textId="77777777" w:rsidR="0021652D" w:rsidRPr="00B415E3" w:rsidRDefault="001B2301">
      <w:pPr>
        <w:rPr>
          <w:sz w:val="20"/>
          <w:szCs w:val="20"/>
        </w:rPr>
      </w:pPr>
      <w:r w:rsidRPr="00B415E3">
        <w:rPr>
          <w:sz w:val="20"/>
          <w:szCs w:val="20"/>
        </w:rPr>
        <w:t xml:space="preserve">Buunk, A.P., &amp; Gibbons, F.X. (2006) Social comparison orientation: a new perspective on those who do and those who don’t compare with others. In Guimond, S. (Ed.) </w:t>
      </w:r>
      <w:r w:rsidRPr="007F6471">
        <w:rPr>
          <w:i/>
          <w:iCs/>
          <w:sz w:val="20"/>
          <w:szCs w:val="20"/>
        </w:rPr>
        <w:t>Social Comparison and Social Psychology: Understanding cognition, intergroup relations and culture</w:t>
      </w:r>
      <w:r w:rsidRPr="00B415E3">
        <w:rPr>
          <w:sz w:val="20"/>
          <w:szCs w:val="20"/>
        </w:rPr>
        <w:t xml:space="preserve"> (pp. 15-33) Cambridge: Cambridge University Press.</w:t>
      </w:r>
    </w:p>
    <w:p w14:paraId="530F5ECC" w14:textId="77777777" w:rsidR="0021652D" w:rsidRPr="00B415E3" w:rsidRDefault="001B2301">
      <w:pPr>
        <w:rPr>
          <w:sz w:val="20"/>
          <w:szCs w:val="20"/>
        </w:rPr>
      </w:pPr>
      <w:r w:rsidRPr="00B415E3">
        <w:rPr>
          <w:sz w:val="20"/>
          <w:szCs w:val="20"/>
        </w:rPr>
        <w:t xml:space="preserve">Buunk, A. P., &amp; Gibbons, F. X. (2007) Social comparison: The end of a theory and the emergence of a field. </w:t>
      </w:r>
      <w:r w:rsidRPr="007F6471">
        <w:rPr>
          <w:i/>
          <w:iCs/>
          <w:sz w:val="20"/>
          <w:szCs w:val="20"/>
        </w:rPr>
        <w:t>Organizational Behaviour and Human Decision Processes</w:t>
      </w:r>
      <w:r w:rsidRPr="00B415E3">
        <w:rPr>
          <w:sz w:val="20"/>
          <w:szCs w:val="20"/>
        </w:rPr>
        <w:t>, 102(1): 3-21.</w:t>
      </w:r>
    </w:p>
    <w:p w14:paraId="0FB4A236" w14:textId="77777777" w:rsidR="0021652D" w:rsidRPr="00B415E3" w:rsidRDefault="001B2301">
      <w:pPr>
        <w:rPr>
          <w:sz w:val="20"/>
          <w:szCs w:val="20"/>
        </w:rPr>
      </w:pPr>
      <w:r w:rsidRPr="00B415E3">
        <w:rPr>
          <w:sz w:val="20"/>
          <w:szCs w:val="20"/>
        </w:rPr>
        <w:t xml:space="preserve">Buunk, B. P., &amp; Mussweiler, T. (2001) New directions in social comparison research. </w:t>
      </w:r>
      <w:r w:rsidRPr="00634ADF">
        <w:rPr>
          <w:i/>
          <w:iCs/>
          <w:sz w:val="20"/>
          <w:szCs w:val="20"/>
        </w:rPr>
        <w:t>European Journal of Social Psychology</w:t>
      </w:r>
      <w:r w:rsidRPr="00B415E3">
        <w:rPr>
          <w:sz w:val="20"/>
          <w:szCs w:val="20"/>
        </w:rPr>
        <w:t>, 31(5): 467-475.</w:t>
      </w:r>
    </w:p>
    <w:p w14:paraId="1FBFACE3" w14:textId="6D125474" w:rsidR="0021652D" w:rsidRPr="00B415E3" w:rsidRDefault="001B2301">
      <w:pPr>
        <w:rPr>
          <w:sz w:val="20"/>
          <w:szCs w:val="20"/>
        </w:rPr>
      </w:pPr>
      <w:r w:rsidRPr="00B415E3">
        <w:rPr>
          <w:sz w:val="20"/>
          <w:szCs w:val="20"/>
        </w:rPr>
        <w:t xml:space="preserve">Buunk, B. P., Schaufeli, W. B., &amp; Ybema, J. F. (1994). Burnout, uncertainty, and the desire for social comparison among nurses. </w:t>
      </w:r>
      <w:r w:rsidRPr="00B415E3">
        <w:rPr>
          <w:i/>
          <w:sz w:val="20"/>
          <w:szCs w:val="20"/>
        </w:rPr>
        <w:t>Journal of Applied Social Psychology</w:t>
      </w:r>
      <w:r w:rsidRPr="00B415E3">
        <w:rPr>
          <w:sz w:val="20"/>
          <w:szCs w:val="20"/>
        </w:rPr>
        <w:t xml:space="preserve">, </w:t>
      </w:r>
      <w:r w:rsidRPr="00B415E3">
        <w:rPr>
          <w:i/>
          <w:sz w:val="20"/>
          <w:szCs w:val="20"/>
        </w:rPr>
        <w:t>24</w:t>
      </w:r>
      <w:r w:rsidRPr="00B415E3">
        <w:rPr>
          <w:sz w:val="20"/>
          <w:szCs w:val="20"/>
        </w:rPr>
        <w:t>(19)</w:t>
      </w:r>
      <w:r w:rsidR="0022019A">
        <w:rPr>
          <w:sz w:val="20"/>
          <w:szCs w:val="20"/>
        </w:rPr>
        <w:t>:</w:t>
      </w:r>
      <w:r w:rsidRPr="00B415E3">
        <w:rPr>
          <w:sz w:val="20"/>
          <w:szCs w:val="20"/>
        </w:rPr>
        <w:t xml:space="preserve"> 1701-1718.</w:t>
      </w:r>
    </w:p>
    <w:p w14:paraId="17584DF2" w14:textId="77777777" w:rsidR="0021652D" w:rsidRPr="00B415E3" w:rsidRDefault="001B2301">
      <w:pPr>
        <w:rPr>
          <w:sz w:val="20"/>
          <w:szCs w:val="20"/>
        </w:rPr>
      </w:pPr>
      <w:r w:rsidRPr="00B415E3">
        <w:rPr>
          <w:sz w:val="20"/>
          <w:szCs w:val="20"/>
        </w:rPr>
        <w:t xml:space="preserve">Buunk, B. P., &amp; Ybema, J. F. (1997) Social comparisons and occupational stress: The identification-contrast model. In B. P. Buunk &amp; F. X Gibbons (Eds.), </w:t>
      </w:r>
      <w:r w:rsidRPr="0022019A">
        <w:rPr>
          <w:i/>
          <w:iCs/>
          <w:sz w:val="20"/>
          <w:szCs w:val="20"/>
        </w:rPr>
        <w:t>Health, coping and well-being: Perspectives from social comparison theory</w:t>
      </w:r>
      <w:r w:rsidRPr="00B415E3">
        <w:rPr>
          <w:sz w:val="20"/>
          <w:szCs w:val="20"/>
        </w:rPr>
        <w:t xml:space="preserve"> (pp. 359–388) Mahwah, NJ: Erlbaum.</w:t>
      </w:r>
    </w:p>
    <w:p w14:paraId="31B2E959" w14:textId="7B7421F9" w:rsidR="0021652D" w:rsidRPr="00B415E3" w:rsidRDefault="001B2301">
      <w:pPr>
        <w:rPr>
          <w:sz w:val="20"/>
          <w:szCs w:val="20"/>
        </w:rPr>
      </w:pPr>
      <w:r w:rsidRPr="00B415E3">
        <w:rPr>
          <w:sz w:val="20"/>
          <w:szCs w:val="20"/>
        </w:rPr>
        <w:t xml:space="preserve">Cabrera-Perona, V., Buunk, A., Terol-Cantero, M., Quiles-Marcos, Y., </w:t>
      </w:r>
      <w:r w:rsidR="002C179E">
        <w:rPr>
          <w:sz w:val="20"/>
          <w:szCs w:val="20"/>
        </w:rPr>
        <w:t xml:space="preserve">&amp; </w:t>
      </w:r>
      <w:r w:rsidRPr="00B415E3">
        <w:rPr>
          <w:sz w:val="20"/>
          <w:szCs w:val="20"/>
        </w:rPr>
        <w:t xml:space="preserve">Martín-Aragón, M. (2017) Social comparison processes and catastrophising in fibromyalgia: A path analysis, </w:t>
      </w:r>
      <w:r w:rsidRPr="0022019A">
        <w:rPr>
          <w:i/>
          <w:iCs/>
          <w:sz w:val="20"/>
          <w:szCs w:val="20"/>
        </w:rPr>
        <w:t>Psychology &amp; Health</w:t>
      </w:r>
      <w:r w:rsidRPr="00B415E3">
        <w:rPr>
          <w:sz w:val="20"/>
          <w:szCs w:val="20"/>
        </w:rPr>
        <w:t>, 32(6):745-764</w:t>
      </w:r>
    </w:p>
    <w:p w14:paraId="37AECA28" w14:textId="77777777" w:rsidR="0021652D" w:rsidRPr="00B415E3" w:rsidRDefault="001B2301">
      <w:pPr>
        <w:rPr>
          <w:sz w:val="20"/>
          <w:szCs w:val="20"/>
        </w:rPr>
      </w:pPr>
      <w:r w:rsidRPr="00B415E3">
        <w:rPr>
          <w:sz w:val="20"/>
          <w:szCs w:val="20"/>
        </w:rPr>
        <w:t xml:space="preserve">Carmona, C., Buunk, A. P., Peiro, J. M., Rodriguez, I., &amp; Bravo, M. J. (2006) Do social comparison and coping styles play a role in the development of burnout? Cross-sectional and longitudinal findings. </w:t>
      </w:r>
      <w:r w:rsidRPr="00EC18A8">
        <w:rPr>
          <w:i/>
          <w:iCs/>
          <w:sz w:val="20"/>
          <w:szCs w:val="20"/>
        </w:rPr>
        <w:t>Journal of Occupational and Organizational Psychology</w:t>
      </w:r>
      <w:r w:rsidRPr="00B415E3">
        <w:rPr>
          <w:sz w:val="20"/>
          <w:szCs w:val="20"/>
        </w:rPr>
        <w:t>, 79:85-99.</w:t>
      </w:r>
    </w:p>
    <w:p w14:paraId="478E3DAB" w14:textId="42C2F507" w:rsidR="0021652D" w:rsidRPr="00B415E3" w:rsidRDefault="001B2301">
      <w:pPr>
        <w:rPr>
          <w:sz w:val="20"/>
          <w:szCs w:val="20"/>
        </w:rPr>
      </w:pPr>
      <w:r w:rsidRPr="00B415E3">
        <w:rPr>
          <w:sz w:val="20"/>
          <w:szCs w:val="20"/>
          <w:lang w:val="es-ES"/>
        </w:rPr>
        <w:t xml:space="preserve">Carmona, C., Buunk, A. P., Dijkstra, A., &amp; Peiro, J. M. (2008). </w:t>
      </w:r>
      <w:r w:rsidRPr="00B415E3">
        <w:rPr>
          <w:sz w:val="20"/>
          <w:szCs w:val="20"/>
        </w:rPr>
        <w:t xml:space="preserve">The relationship between goal orientation, social comparison responses, self-efficacy, and performance. </w:t>
      </w:r>
      <w:r w:rsidRPr="00EC18A8">
        <w:rPr>
          <w:i/>
          <w:iCs/>
          <w:sz w:val="20"/>
          <w:szCs w:val="20"/>
        </w:rPr>
        <w:t>European Psychologist</w:t>
      </w:r>
      <w:r w:rsidRPr="00B415E3">
        <w:rPr>
          <w:sz w:val="20"/>
          <w:szCs w:val="20"/>
        </w:rPr>
        <w:t>, 13 (3)</w:t>
      </w:r>
      <w:r w:rsidR="00EC18A8">
        <w:rPr>
          <w:sz w:val="20"/>
          <w:szCs w:val="20"/>
        </w:rPr>
        <w:t>:</w:t>
      </w:r>
      <w:r w:rsidRPr="00B415E3">
        <w:rPr>
          <w:sz w:val="20"/>
          <w:szCs w:val="20"/>
        </w:rPr>
        <w:t xml:space="preserve"> 188-196.</w:t>
      </w:r>
    </w:p>
    <w:p w14:paraId="36E09A7E" w14:textId="24538B5F" w:rsidR="0021652D" w:rsidRPr="00B415E3" w:rsidRDefault="001B2301">
      <w:pPr>
        <w:rPr>
          <w:sz w:val="20"/>
          <w:szCs w:val="20"/>
        </w:rPr>
      </w:pPr>
      <w:r w:rsidRPr="00B415E3">
        <w:rPr>
          <w:sz w:val="20"/>
          <w:szCs w:val="20"/>
        </w:rPr>
        <w:t xml:space="preserve">Castillo, M., Petrie, R., &amp; Wardell, C. (2014). Fundraising through online social networks: A field experiment on peer-to-peer solicitation. </w:t>
      </w:r>
      <w:r w:rsidRPr="00B415E3">
        <w:rPr>
          <w:i/>
          <w:sz w:val="20"/>
          <w:szCs w:val="20"/>
        </w:rPr>
        <w:t>Journal of Public Economics</w:t>
      </w:r>
      <w:r w:rsidRPr="00B415E3">
        <w:rPr>
          <w:sz w:val="20"/>
          <w:szCs w:val="20"/>
        </w:rPr>
        <w:t xml:space="preserve">, </w:t>
      </w:r>
      <w:r w:rsidRPr="00B415E3">
        <w:rPr>
          <w:i/>
          <w:sz w:val="20"/>
          <w:szCs w:val="20"/>
        </w:rPr>
        <w:t>114</w:t>
      </w:r>
      <w:r w:rsidR="00EC18A8">
        <w:rPr>
          <w:sz w:val="20"/>
          <w:szCs w:val="20"/>
        </w:rPr>
        <w:t>:</w:t>
      </w:r>
      <w:r w:rsidRPr="00B415E3">
        <w:rPr>
          <w:sz w:val="20"/>
          <w:szCs w:val="20"/>
        </w:rPr>
        <w:t xml:space="preserve"> 29-35</w:t>
      </w:r>
    </w:p>
    <w:p w14:paraId="6193B7A7" w14:textId="5D0881EF" w:rsidR="0021652D" w:rsidRPr="00B415E3" w:rsidRDefault="001B2301">
      <w:pPr>
        <w:rPr>
          <w:sz w:val="20"/>
          <w:szCs w:val="20"/>
        </w:rPr>
      </w:pPr>
      <w:r w:rsidRPr="00B415E3">
        <w:rPr>
          <w:sz w:val="20"/>
          <w:szCs w:val="20"/>
        </w:rPr>
        <w:t xml:space="preserve">Chang, B. H., Lee, S. E., &amp; Kim, B. S. (2006). Exploring factors affecting the adoption and continuance of online games among college students in South Korea: Integrating uses and gratification and diffusion of innovation approaches. </w:t>
      </w:r>
      <w:r w:rsidRPr="00B415E3">
        <w:rPr>
          <w:i/>
          <w:sz w:val="20"/>
          <w:szCs w:val="20"/>
        </w:rPr>
        <w:t>New Media &amp; Society</w:t>
      </w:r>
      <w:r w:rsidRPr="00B415E3">
        <w:rPr>
          <w:sz w:val="20"/>
          <w:szCs w:val="20"/>
        </w:rPr>
        <w:t xml:space="preserve">, </w:t>
      </w:r>
      <w:r w:rsidRPr="00B415E3">
        <w:rPr>
          <w:i/>
          <w:sz w:val="20"/>
          <w:szCs w:val="20"/>
        </w:rPr>
        <w:t>8</w:t>
      </w:r>
      <w:r w:rsidRPr="00B415E3">
        <w:rPr>
          <w:sz w:val="20"/>
          <w:szCs w:val="20"/>
        </w:rPr>
        <w:t>(2)</w:t>
      </w:r>
      <w:r w:rsidR="00EC18A8">
        <w:rPr>
          <w:sz w:val="20"/>
          <w:szCs w:val="20"/>
        </w:rPr>
        <w:t>:</w:t>
      </w:r>
      <w:r w:rsidRPr="00B415E3">
        <w:rPr>
          <w:sz w:val="20"/>
          <w:szCs w:val="20"/>
        </w:rPr>
        <w:t xml:space="preserve"> 295-319.</w:t>
      </w:r>
    </w:p>
    <w:p w14:paraId="7AF96060" w14:textId="3C3D1EF2" w:rsidR="0021652D" w:rsidRPr="00B415E3" w:rsidRDefault="001B2301">
      <w:pPr>
        <w:rPr>
          <w:sz w:val="20"/>
          <w:szCs w:val="20"/>
        </w:rPr>
      </w:pPr>
      <w:r w:rsidRPr="00B415E3">
        <w:rPr>
          <w:sz w:val="20"/>
          <w:szCs w:val="20"/>
        </w:rPr>
        <w:t xml:space="preserve">Chang, C., </w:t>
      </w:r>
      <w:r w:rsidR="002C179E">
        <w:rPr>
          <w:sz w:val="20"/>
          <w:szCs w:val="20"/>
        </w:rPr>
        <w:t xml:space="preserve">&amp; </w:t>
      </w:r>
      <w:r w:rsidRPr="00B415E3">
        <w:rPr>
          <w:sz w:val="20"/>
          <w:szCs w:val="20"/>
        </w:rPr>
        <w:t xml:space="preserve">Chin, Y. (2011) Predicting the usage intention of social network games: an intrinsic: extrinsic motivation theory perspective. </w:t>
      </w:r>
      <w:r w:rsidRPr="00F65410">
        <w:rPr>
          <w:i/>
          <w:iCs/>
          <w:sz w:val="20"/>
          <w:szCs w:val="20"/>
        </w:rPr>
        <w:t>International Journal of Online Marketing (</w:t>
      </w:r>
      <w:r w:rsidRPr="00B415E3">
        <w:rPr>
          <w:sz w:val="20"/>
          <w:szCs w:val="20"/>
        </w:rPr>
        <w:t>IJOM) 1(3): 29-37.</w:t>
      </w:r>
    </w:p>
    <w:p w14:paraId="4BF3337E" w14:textId="4F15B741" w:rsidR="0021652D" w:rsidRPr="00B415E3" w:rsidRDefault="001B2301">
      <w:pPr>
        <w:rPr>
          <w:sz w:val="20"/>
          <w:szCs w:val="20"/>
        </w:rPr>
      </w:pPr>
      <w:r w:rsidRPr="00B415E3">
        <w:rPr>
          <w:sz w:val="20"/>
          <w:szCs w:val="20"/>
        </w:rPr>
        <w:t xml:space="preserve">Chang, I. C., Liu, C. C., &amp; Chen, K. (2014). The effects of hedonic/utilitarian expectations and social influence on continuance intention to play online games. </w:t>
      </w:r>
      <w:r w:rsidRPr="00B415E3">
        <w:rPr>
          <w:i/>
          <w:sz w:val="20"/>
          <w:szCs w:val="20"/>
        </w:rPr>
        <w:t>Internet Research</w:t>
      </w:r>
      <w:r w:rsidR="00F65410">
        <w:rPr>
          <w:i/>
          <w:sz w:val="20"/>
          <w:szCs w:val="20"/>
        </w:rPr>
        <w:t xml:space="preserve"> 24(1): 21-45</w:t>
      </w:r>
      <w:r w:rsidRPr="00B415E3">
        <w:rPr>
          <w:sz w:val="20"/>
          <w:szCs w:val="20"/>
        </w:rPr>
        <w:t>.</w:t>
      </w:r>
    </w:p>
    <w:p w14:paraId="4C0B42E9" w14:textId="77777777" w:rsidR="0021652D" w:rsidRPr="00B415E3" w:rsidRDefault="001B2301">
      <w:pPr>
        <w:rPr>
          <w:sz w:val="20"/>
          <w:szCs w:val="20"/>
        </w:rPr>
      </w:pPr>
      <w:r w:rsidRPr="00B415E3">
        <w:rPr>
          <w:sz w:val="20"/>
          <w:szCs w:val="20"/>
        </w:rPr>
        <w:lastRenderedPageBreak/>
        <w:t xml:space="preserve">Chester, D., Powell C., Smith R., Joseph J., Kedia G., Combs D., &amp; DeWall C. (2013) Justice for the average Joe: The role of envy and the mentalizing network in the deservingness of others’ misfortunes. </w:t>
      </w:r>
      <w:r w:rsidRPr="00261A0A">
        <w:rPr>
          <w:i/>
          <w:iCs/>
          <w:sz w:val="20"/>
          <w:szCs w:val="20"/>
        </w:rPr>
        <w:t>Social Neuroscience</w:t>
      </w:r>
      <w:r w:rsidRPr="00B415E3">
        <w:rPr>
          <w:sz w:val="20"/>
          <w:szCs w:val="20"/>
        </w:rPr>
        <w:t>, 8:640–649.</w:t>
      </w:r>
    </w:p>
    <w:p w14:paraId="6712D230" w14:textId="38F4E1C3" w:rsidR="0021652D" w:rsidRPr="00B415E3" w:rsidRDefault="001B2301">
      <w:pPr>
        <w:rPr>
          <w:sz w:val="20"/>
          <w:szCs w:val="20"/>
        </w:rPr>
      </w:pPr>
      <w:r w:rsidRPr="00B415E3">
        <w:rPr>
          <w:sz w:val="20"/>
          <w:szCs w:val="20"/>
        </w:rPr>
        <w:t xml:space="preserve">Cheung, C. M., Shen, X. L., Lee, Z. W., &amp; Chan, T. K. (2015). Promoting sales of online games through customer engagement. </w:t>
      </w:r>
      <w:r w:rsidRPr="00B415E3">
        <w:rPr>
          <w:i/>
          <w:sz w:val="20"/>
          <w:szCs w:val="20"/>
        </w:rPr>
        <w:t>Electronic Commerce Research and Applications</w:t>
      </w:r>
      <w:r w:rsidRPr="00B415E3">
        <w:rPr>
          <w:sz w:val="20"/>
          <w:szCs w:val="20"/>
        </w:rPr>
        <w:t xml:space="preserve">, </w:t>
      </w:r>
      <w:r w:rsidRPr="00B415E3">
        <w:rPr>
          <w:i/>
          <w:sz w:val="20"/>
          <w:szCs w:val="20"/>
        </w:rPr>
        <w:t>14</w:t>
      </w:r>
      <w:r w:rsidRPr="00B415E3">
        <w:rPr>
          <w:sz w:val="20"/>
          <w:szCs w:val="20"/>
        </w:rPr>
        <w:t>(4)</w:t>
      </w:r>
      <w:r w:rsidR="00261A0A">
        <w:rPr>
          <w:sz w:val="20"/>
          <w:szCs w:val="20"/>
        </w:rPr>
        <w:t>:</w:t>
      </w:r>
      <w:r w:rsidRPr="00B415E3">
        <w:rPr>
          <w:sz w:val="20"/>
          <w:szCs w:val="20"/>
        </w:rPr>
        <w:t>241-250.</w:t>
      </w:r>
    </w:p>
    <w:p w14:paraId="58166AB4" w14:textId="18DA51A9" w:rsidR="0021652D" w:rsidRPr="00B415E3" w:rsidRDefault="001B2301">
      <w:pPr>
        <w:rPr>
          <w:sz w:val="20"/>
          <w:szCs w:val="20"/>
        </w:rPr>
      </w:pPr>
      <w:r w:rsidRPr="00B415E3">
        <w:rPr>
          <w:sz w:val="20"/>
          <w:szCs w:val="20"/>
        </w:rPr>
        <w:t xml:space="preserve">Choi, D., Kim, J. (2004) Why people continue to play online games: in search of critical design factors to increase customer loyalty to online contents. </w:t>
      </w:r>
      <w:r w:rsidRPr="00261A0A">
        <w:rPr>
          <w:i/>
          <w:iCs/>
          <w:sz w:val="20"/>
          <w:szCs w:val="20"/>
        </w:rPr>
        <w:t>Cyber</w:t>
      </w:r>
      <w:r w:rsidR="003B3B56">
        <w:rPr>
          <w:i/>
          <w:iCs/>
          <w:sz w:val="20"/>
          <w:szCs w:val="20"/>
        </w:rPr>
        <w:t>-</w:t>
      </w:r>
      <w:r w:rsidRPr="00261A0A">
        <w:rPr>
          <w:i/>
          <w:iCs/>
          <w:sz w:val="20"/>
          <w:szCs w:val="20"/>
        </w:rPr>
        <w:t>Psychology &amp; Behaviour</w:t>
      </w:r>
      <w:r w:rsidRPr="00B415E3">
        <w:rPr>
          <w:sz w:val="20"/>
          <w:szCs w:val="20"/>
        </w:rPr>
        <w:t>, 7(1):11‐24.</w:t>
      </w:r>
    </w:p>
    <w:p w14:paraId="6F08717A" w14:textId="77777777" w:rsidR="0021652D" w:rsidRPr="00B415E3" w:rsidRDefault="001B2301">
      <w:pPr>
        <w:rPr>
          <w:sz w:val="20"/>
          <w:szCs w:val="20"/>
        </w:rPr>
      </w:pPr>
      <w:r w:rsidRPr="00B415E3">
        <w:rPr>
          <w:sz w:val="20"/>
          <w:szCs w:val="20"/>
        </w:rPr>
        <w:t xml:space="preserve">Choi, H., Dowell, N., Brooks, C., &amp; Teasley, S. (2019, March). Social Comparison in MOOCs: Perceived SES, Opinion, and Message Formality. In </w:t>
      </w:r>
      <w:r w:rsidRPr="00B415E3">
        <w:rPr>
          <w:i/>
          <w:sz w:val="20"/>
          <w:szCs w:val="20"/>
        </w:rPr>
        <w:t>Proceedings of the 9th International Conference on Learning Analytics &amp; Knowledge</w:t>
      </w:r>
      <w:r w:rsidRPr="00B415E3">
        <w:rPr>
          <w:sz w:val="20"/>
          <w:szCs w:val="20"/>
        </w:rPr>
        <w:t xml:space="preserve"> (pp. 160-169).</w:t>
      </w:r>
    </w:p>
    <w:p w14:paraId="31F6395A" w14:textId="77777777" w:rsidR="0021652D" w:rsidRPr="00B415E3" w:rsidRDefault="001B2301">
      <w:pPr>
        <w:rPr>
          <w:sz w:val="20"/>
          <w:szCs w:val="20"/>
        </w:rPr>
      </w:pPr>
      <w:r w:rsidRPr="00B415E3">
        <w:rPr>
          <w:sz w:val="20"/>
          <w:szCs w:val="20"/>
        </w:rPr>
        <w:t xml:space="preserve">Chung, J.M., Robins, R.W., &amp; Schriber, R.A. (2016) Positive illusions in the academic context: A longitudinal study of academic self-enhancement in college. </w:t>
      </w:r>
      <w:r w:rsidRPr="00261A0A">
        <w:rPr>
          <w:i/>
          <w:iCs/>
          <w:sz w:val="20"/>
          <w:szCs w:val="20"/>
        </w:rPr>
        <w:t>Personality and Social Psychology Bulletin</w:t>
      </w:r>
      <w:r w:rsidRPr="00B415E3">
        <w:rPr>
          <w:sz w:val="20"/>
          <w:szCs w:val="20"/>
        </w:rPr>
        <w:t>, 42(10):1384-1401</w:t>
      </w:r>
    </w:p>
    <w:p w14:paraId="4E02F80D" w14:textId="77777777" w:rsidR="0021652D" w:rsidRPr="00B415E3" w:rsidRDefault="001B2301">
      <w:pPr>
        <w:rPr>
          <w:sz w:val="20"/>
          <w:szCs w:val="20"/>
        </w:rPr>
      </w:pPr>
      <w:r w:rsidRPr="00B415E3">
        <w:rPr>
          <w:sz w:val="20"/>
          <w:szCs w:val="20"/>
        </w:rPr>
        <w:t xml:space="preserve">Collins, R. L. (1996). For better or worse: The impact of upward social comparison on self-evaluations. </w:t>
      </w:r>
      <w:r w:rsidRPr="009F1495">
        <w:rPr>
          <w:i/>
          <w:iCs/>
          <w:sz w:val="20"/>
          <w:szCs w:val="20"/>
        </w:rPr>
        <w:t>Psychological Bulletin,</w:t>
      </w:r>
      <w:r w:rsidRPr="00B415E3">
        <w:rPr>
          <w:sz w:val="20"/>
          <w:szCs w:val="20"/>
        </w:rPr>
        <w:t xml:space="preserve"> 119:51-69.</w:t>
      </w:r>
    </w:p>
    <w:p w14:paraId="62F2FA10" w14:textId="14BC65EA" w:rsidR="0021652D" w:rsidRPr="00B415E3" w:rsidRDefault="001B2301">
      <w:pPr>
        <w:rPr>
          <w:sz w:val="20"/>
          <w:szCs w:val="20"/>
        </w:rPr>
      </w:pPr>
      <w:r w:rsidRPr="00B415E3">
        <w:rPr>
          <w:sz w:val="20"/>
          <w:szCs w:val="20"/>
        </w:rPr>
        <w:t xml:space="preserve">Corcoran, K., Crusius, J., </w:t>
      </w:r>
      <w:r w:rsidR="002C179E">
        <w:rPr>
          <w:sz w:val="20"/>
          <w:szCs w:val="20"/>
        </w:rPr>
        <w:t xml:space="preserve">&amp; </w:t>
      </w:r>
      <w:r w:rsidRPr="00B415E3">
        <w:rPr>
          <w:sz w:val="20"/>
          <w:szCs w:val="20"/>
        </w:rPr>
        <w:t xml:space="preserve">Mussweiler, T. (2011) Social comparison: Motives, standards, and mechanisms, </w:t>
      </w:r>
      <w:r w:rsidRPr="009F1495">
        <w:rPr>
          <w:i/>
          <w:iCs/>
          <w:sz w:val="20"/>
          <w:szCs w:val="20"/>
        </w:rPr>
        <w:t>Theories in social psychology</w:t>
      </w:r>
      <w:r w:rsidRPr="00B415E3">
        <w:rPr>
          <w:sz w:val="20"/>
          <w:szCs w:val="20"/>
        </w:rPr>
        <w:t>, 119-139.</w:t>
      </w:r>
    </w:p>
    <w:p w14:paraId="1E7034DF" w14:textId="201AE640" w:rsidR="0021652D" w:rsidRPr="00B415E3" w:rsidRDefault="001B2301">
      <w:pPr>
        <w:rPr>
          <w:sz w:val="20"/>
          <w:szCs w:val="20"/>
        </w:rPr>
      </w:pPr>
      <w:r w:rsidRPr="00B415E3">
        <w:rPr>
          <w:sz w:val="20"/>
          <w:szCs w:val="20"/>
        </w:rPr>
        <w:t xml:space="preserve">Davis, F. D. (1989). Perceived usefulness, perceived ease of use, and user acceptance of information technology. </w:t>
      </w:r>
      <w:r w:rsidRPr="00B415E3">
        <w:rPr>
          <w:i/>
          <w:sz w:val="20"/>
          <w:szCs w:val="20"/>
        </w:rPr>
        <w:t xml:space="preserve">MIS </w:t>
      </w:r>
      <w:r w:rsidR="00D85962">
        <w:rPr>
          <w:i/>
          <w:sz w:val="20"/>
          <w:szCs w:val="20"/>
        </w:rPr>
        <w:t>Q</w:t>
      </w:r>
      <w:r w:rsidRPr="00B415E3">
        <w:rPr>
          <w:i/>
          <w:sz w:val="20"/>
          <w:szCs w:val="20"/>
        </w:rPr>
        <w:t>uarterly</w:t>
      </w:r>
      <w:r w:rsidRPr="00B415E3">
        <w:rPr>
          <w:sz w:val="20"/>
          <w:szCs w:val="20"/>
        </w:rPr>
        <w:t xml:space="preserve">, </w:t>
      </w:r>
      <w:r w:rsidR="00D85962">
        <w:rPr>
          <w:sz w:val="20"/>
          <w:szCs w:val="20"/>
        </w:rPr>
        <w:t>13(3):</w:t>
      </w:r>
      <w:r w:rsidRPr="00B415E3">
        <w:rPr>
          <w:sz w:val="20"/>
          <w:szCs w:val="20"/>
        </w:rPr>
        <w:t>319-340.</w:t>
      </w:r>
    </w:p>
    <w:p w14:paraId="51A9088E" w14:textId="77777777" w:rsidR="0021652D" w:rsidRPr="00B415E3" w:rsidRDefault="001B2301">
      <w:pPr>
        <w:rPr>
          <w:sz w:val="20"/>
          <w:szCs w:val="20"/>
        </w:rPr>
      </w:pPr>
      <w:r w:rsidRPr="00B415E3">
        <w:rPr>
          <w:sz w:val="20"/>
          <w:szCs w:val="20"/>
        </w:rPr>
        <w:t xml:space="preserve">Davis, F. D., Bagozzi, R. P., &amp; Warshaw, P. R. (1992). Extrinsic and intrinsic motivation to use computers in the workplace. </w:t>
      </w:r>
      <w:r w:rsidRPr="00737AAA">
        <w:rPr>
          <w:i/>
          <w:iCs/>
          <w:sz w:val="20"/>
          <w:szCs w:val="20"/>
        </w:rPr>
        <w:t>Journal of Applied Social Psychology</w:t>
      </w:r>
      <w:r w:rsidRPr="00B415E3">
        <w:rPr>
          <w:sz w:val="20"/>
          <w:szCs w:val="20"/>
        </w:rPr>
        <w:t>, 22(14): 1111-1132.</w:t>
      </w:r>
    </w:p>
    <w:p w14:paraId="5CBA1C9B" w14:textId="77777777" w:rsidR="0021652D" w:rsidRPr="00B415E3" w:rsidRDefault="001B2301">
      <w:pPr>
        <w:rPr>
          <w:sz w:val="20"/>
          <w:szCs w:val="20"/>
        </w:rPr>
      </w:pPr>
      <w:r w:rsidRPr="00B415E3">
        <w:rPr>
          <w:sz w:val="20"/>
          <w:szCs w:val="20"/>
        </w:rPr>
        <w:t xml:space="preserve">DeLone, W. H., &amp; McLean, E. R. (1992). Information systems success: The quest for the dependent variable. </w:t>
      </w:r>
      <w:r w:rsidRPr="00B415E3">
        <w:rPr>
          <w:i/>
          <w:sz w:val="20"/>
          <w:szCs w:val="20"/>
        </w:rPr>
        <w:t>Information Systems Research</w:t>
      </w:r>
      <w:r w:rsidRPr="00B415E3">
        <w:rPr>
          <w:sz w:val="20"/>
          <w:szCs w:val="20"/>
        </w:rPr>
        <w:t xml:space="preserve">, </w:t>
      </w:r>
      <w:r w:rsidRPr="00B415E3">
        <w:rPr>
          <w:i/>
          <w:sz w:val="20"/>
          <w:szCs w:val="20"/>
        </w:rPr>
        <w:t>3</w:t>
      </w:r>
      <w:r w:rsidRPr="00B415E3">
        <w:rPr>
          <w:sz w:val="20"/>
          <w:szCs w:val="20"/>
        </w:rPr>
        <w:t>(1), 60-95.</w:t>
      </w:r>
    </w:p>
    <w:p w14:paraId="6AE84B29" w14:textId="4FB41DB0" w:rsidR="0021652D" w:rsidRPr="00B415E3" w:rsidRDefault="001B2301">
      <w:pPr>
        <w:rPr>
          <w:sz w:val="20"/>
          <w:szCs w:val="20"/>
        </w:rPr>
      </w:pPr>
      <w:r w:rsidRPr="00B415E3">
        <w:rPr>
          <w:sz w:val="20"/>
          <w:szCs w:val="20"/>
        </w:rPr>
        <w:t xml:space="preserve">Dijkstra, P., Kuyper, H., Buunk, A., Van der Werf, M., </w:t>
      </w:r>
      <w:r w:rsidR="002C179E">
        <w:rPr>
          <w:sz w:val="20"/>
          <w:szCs w:val="20"/>
        </w:rPr>
        <w:t xml:space="preserve">&amp; </w:t>
      </w:r>
      <w:r w:rsidRPr="00B415E3">
        <w:rPr>
          <w:sz w:val="20"/>
          <w:szCs w:val="20"/>
        </w:rPr>
        <w:t xml:space="preserve">Van der Zee, Y. (2008) Social Comparison in the Classroom: A Review. </w:t>
      </w:r>
      <w:r w:rsidRPr="00737AAA">
        <w:rPr>
          <w:i/>
          <w:iCs/>
          <w:sz w:val="20"/>
          <w:szCs w:val="20"/>
        </w:rPr>
        <w:t>Review of Educational Research</w:t>
      </w:r>
      <w:r w:rsidRPr="00B415E3">
        <w:rPr>
          <w:sz w:val="20"/>
          <w:szCs w:val="20"/>
        </w:rPr>
        <w:t>, 78:828-879.</w:t>
      </w:r>
    </w:p>
    <w:p w14:paraId="6C985077" w14:textId="77777777" w:rsidR="0021652D" w:rsidRPr="00B415E3" w:rsidRDefault="001B2301">
      <w:pPr>
        <w:rPr>
          <w:sz w:val="20"/>
          <w:szCs w:val="20"/>
        </w:rPr>
      </w:pPr>
      <w:r w:rsidRPr="00B415E3">
        <w:rPr>
          <w:sz w:val="20"/>
          <w:szCs w:val="20"/>
        </w:rPr>
        <w:t xml:space="preserve">Exadaktylos, F., Espín, A. M., &amp; Branas-Garza, P. (2013) Experimental subjects are not different. </w:t>
      </w:r>
      <w:r w:rsidRPr="00A703C9">
        <w:rPr>
          <w:i/>
          <w:iCs/>
          <w:sz w:val="20"/>
          <w:szCs w:val="20"/>
        </w:rPr>
        <w:t xml:space="preserve">Nature: </w:t>
      </w:r>
      <w:r w:rsidRPr="00B415E3">
        <w:rPr>
          <w:i/>
          <w:sz w:val="20"/>
          <w:szCs w:val="20"/>
        </w:rPr>
        <w:t>Scientific Reports</w:t>
      </w:r>
      <w:r w:rsidRPr="00B415E3">
        <w:rPr>
          <w:sz w:val="20"/>
          <w:szCs w:val="20"/>
        </w:rPr>
        <w:t xml:space="preserve">, </w:t>
      </w:r>
      <w:r w:rsidRPr="00B415E3">
        <w:rPr>
          <w:i/>
          <w:sz w:val="20"/>
          <w:szCs w:val="20"/>
        </w:rPr>
        <w:t>3</w:t>
      </w:r>
      <w:r w:rsidRPr="00B415E3">
        <w:rPr>
          <w:sz w:val="20"/>
          <w:szCs w:val="20"/>
        </w:rPr>
        <w:t>, 1213.</w:t>
      </w:r>
    </w:p>
    <w:p w14:paraId="2A53C6B7" w14:textId="77777777" w:rsidR="0021652D" w:rsidRPr="00B415E3" w:rsidRDefault="001B2301">
      <w:pPr>
        <w:rPr>
          <w:sz w:val="20"/>
          <w:szCs w:val="20"/>
        </w:rPr>
      </w:pPr>
      <w:r w:rsidRPr="00B415E3">
        <w:rPr>
          <w:sz w:val="20"/>
          <w:szCs w:val="20"/>
        </w:rPr>
        <w:t xml:space="preserve">Festinger, L. (1954) A Theory of Social Comparison Processes. </w:t>
      </w:r>
      <w:r w:rsidRPr="00A703C9">
        <w:rPr>
          <w:i/>
          <w:iCs/>
          <w:sz w:val="20"/>
          <w:szCs w:val="20"/>
        </w:rPr>
        <w:t>Human Relations</w:t>
      </w:r>
      <w:r w:rsidRPr="00B415E3">
        <w:rPr>
          <w:sz w:val="20"/>
          <w:szCs w:val="20"/>
        </w:rPr>
        <w:t>, 7:117-140.</w:t>
      </w:r>
    </w:p>
    <w:p w14:paraId="6AFB1A18" w14:textId="77777777" w:rsidR="0021652D" w:rsidRPr="00B415E3" w:rsidRDefault="001B2301">
      <w:pPr>
        <w:rPr>
          <w:sz w:val="20"/>
          <w:szCs w:val="20"/>
        </w:rPr>
      </w:pPr>
      <w:r w:rsidRPr="00B415E3">
        <w:rPr>
          <w:sz w:val="20"/>
          <w:szCs w:val="20"/>
        </w:rPr>
        <w:t xml:space="preserve">Fisher, E., Dunn, M., &amp; Thompson, J. K. (2002). Social comparison and body image: An investigation of body comparison processes using multidimensional scaling. </w:t>
      </w:r>
      <w:r w:rsidRPr="00B415E3">
        <w:rPr>
          <w:i/>
          <w:sz w:val="20"/>
          <w:szCs w:val="20"/>
        </w:rPr>
        <w:t>Journal of Social and Clinical Psychology</w:t>
      </w:r>
      <w:r w:rsidRPr="00B415E3">
        <w:rPr>
          <w:sz w:val="20"/>
          <w:szCs w:val="20"/>
        </w:rPr>
        <w:t xml:space="preserve">, </w:t>
      </w:r>
      <w:r w:rsidRPr="00B415E3">
        <w:rPr>
          <w:i/>
          <w:sz w:val="20"/>
          <w:szCs w:val="20"/>
        </w:rPr>
        <w:t>21</w:t>
      </w:r>
      <w:r w:rsidRPr="00B415E3">
        <w:rPr>
          <w:sz w:val="20"/>
          <w:szCs w:val="20"/>
        </w:rPr>
        <w:t>(5), 566-579.</w:t>
      </w:r>
    </w:p>
    <w:p w14:paraId="3E24ECBA" w14:textId="7C2438EB" w:rsidR="0021652D" w:rsidRPr="00B415E3" w:rsidRDefault="001B2301">
      <w:pPr>
        <w:rPr>
          <w:sz w:val="20"/>
          <w:szCs w:val="20"/>
        </w:rPr>
      </w:pPr>
      <w:r w:rsidRPr="00B415E3">
        <w:rPr>
          <w:sz w:val="20"/>
          <w:szCs w:val="20"/>
        </w:rPr>
        <w:t xml:space="preserve">Fornell, C. G., </w:t>
      </w:r>
      <w:r w:rsidR="002C179E">
        <w:rPr>
          <w:sz w:val="20"/>
          <w:szCs w:val="20"/>
        </w:rPr>
        <w:t xml:space="preserve">&amp; </w:t>
      </w:r>
      <w:r w:rsidRPr="00B415E3">
        <w:rPr>
          <w:sz w:val="20"/>
          <w:szCs w:val="20"/>
        </w:rPr>
        <w:t xml:space="preserve">Larcker, D. F. (1981) Evaluating structural equation models with unobservable variables and measurement error. </w:t>
      </w:r>
      <w:r w:rsidRPr="00A703C9">
        <w:rPr>
          <w:i/>
          <w:iCs/>
          <w:sz w:val="20"/>
          <w:szCs w:val="20"/>
        </w:rPr>
        <w:t>Journal of Marketing Research</w:t>
      </w:r>
      <w:r w:rsidRPr="00B415E3">
        <w:rPr>
          <w:sz w:val="20"/>
          <w:szCs w:val="20"/>
        </w:rPr>
        <w:t>, 18(1):39–50.</w:t>
      </w:r>
    </w:p>
    <w:p w14:paraId="299A6587" w14:textId="77777777" w:rsidR="0021652D" w:rsidRPr="00B415E3" w:rsidRDefault="001B2301">
      <w:pPr>
        <w:rPr>
          <w:sz w:val="20"/>
          <w:szCs w:val="20"/>
        </w:rPr>
      </w:pPr>
      <w:r w:rsidRPr="00B415E3">
        <w:rPr>
          <w:sz w:val="20"/>
          <w:szCs w:val="20"/>
        </w:rPr>
        <w:t xml:space="preserve">Frieswijk, N., Buunk, B. P., Steverink, N., &amp; Slaets, J. P. J. (2004) The effect of social comparison information on the life satisfaction of frail elderly persons. </w:t>
      </w:r>
      <w:r w:rsidRPr="00A703C9">
        <w:rPr>
          <w:i/>
          <w:iCs/>
          <w:sz w:val="20"/>
          <w:szCs w:val="20"/>
        </w:rPr>
        <w:t>Psychology and Aging</w:t>
      </w:r>
      <w:r w:rsidRPr="00B415E3">
        <w:rPr>
          <w:sz w:val="20"/>
          <w:szCs w:val="20"/>
        </w:rPr>
        <w:t>, 19:183–190.</w:t>
      </w:r>
    </w:p>
    <w:p w14:paraId="2335AA3C" w14:textId="77777777" w:rsidR="0021652D" w:rsidRPr="00B415E3" w:rsidRDefault="001B2301">
      <w:pPr>
        <w:rPr>
          <w:sz w:val="20"/>
          <w:szCs w:val="20"/>
        </w:rPr>
      </w:pPr>
      <w:r w:rsidRPr="00B415E3">
        <w:rPr>
          <w:sz w:val="20"/>
          <w:szCs w:val="20"/>
        </w:rPr>
        <w:t xml:space="preserve">Fuster, H., Carbonell, X., Chamarro, A., &amp; Oberst, U. (2013) Interaction with the Game and Motivation among Players of Massively Multiplayer Online Role-Playing Games. </w:t>
      </w:r>
      <w:r w:rsidRPr="00A703C9">
        <w:rPr>
          <w:i/>
          <w:iCs/>
          <w:sz w:val="20"/>
          <w:szCs w:val="20"/>
        </w:rPr>
        <w:t>The Spanish Journal of Psychology</w:t>
      </w:r>
      <w:r w:rsidRPr="00B415E3">
        <w:rPr>
          <w:sz w:val="20"/>
          <w:szCs w:val="20"/>
        </w:rPr>
        <w:t>, 16(43):1-8.</w:t>
      </w:r>
    </w:p>
    <w:p w14:paraId="5CD0907E" w14:textId="2070B966" w:rsidR="0021652D" w:rsidRPr="00B415E3" w:rsidRDefault="001B2301">
      <w:pPr>
        <w:rPr>
          <w:sz w:val="20"/>
          <w:szCs w:val="20"/>
        </w:rPr>
      </w:pPr>
      <w:r w:rsidRPr="00B415E3">
        <w:rPr>
          <w:sz w:val="20"/>
          <w:szCs w:val="20"/>
        </w:rPr>
        <w:t xml:space="preserve">Galinsky A, </w:t>
      </w:r>
      <w:r w:rsidR="002C179E">
        <w:rPr>
          <w:sz w:val="20"/>
          <w:szCs w:val="20"/>
        </w:rPr>
        <w:t xml:space="preserve">&amp; </w:t>
      </w:r>
      <w:r w:rsidRPr="00B415E3">
        <w:rPr>
          <w:sz w:val="20"/>
          <w:szCs w:val="20"/>
        </w:rPr>
        <w:t>Schweitzer M (2015). Friend &amp; foe: When to cooperate, when to compete, and how to succeed at both. New York: Crown Business.</w:t>
      </w:r>
    </w:p>
    <w:p w14:paraId="484423AA" w14:textId="47771CF6" w:rsidR="0021652D" w:rsidRPr="00B415E3" w:rsidRDefault="001B2301">
      <w:pPr>
        <w:rPr>
          <w:sz w:val="20"/>
          <w:szCs w:val="20"/>
        </w:rPr>
      </w:pPr>
      <w:r w:rsidRPr="00B415E3">
        <w:rPr>
          <w:sz w:val="20"/>
          <w:szCs w:val="20"/>
        </w:rPr>
        <w:lastRenderedPageBreak/>
        <w:t xml:space="preserve">Garcia, S., Tor, A. &amp; Schiff, T. (2013). The Psychology of Competition: A Social Comparison Perspective. In </w:t>
      </w:r>
      <w:r w:rsidRPr="00A703C9">
        <w:rPr>
          <w:i/>
          <w:iCs/>
          <w:sz w:val="20"/>
          <w:szCs w:val="20"/>
        </w:rPr>
        <w:t>Perspectives on Psychological Science</w:t>
      </w:r>
      <w:r w:rsidRPr="00B415E3">
        <w:rPr>
          <w:sz w:val="20"/>
          <w:szCs w:val="20"/>
        </w:rPr>
        <w:t xml:space="preserve"> 8(6): 634-650. Sage Publications.</w:t>
      </w:r>
    </w:p>
    <w:p w14:paraId="3F9EDCFD" w14:textId="51704C57" w:rsidR="00E55B24" w:rsidRPr="00B415E3" w:rsidRDefault="00E55B24">
      <w:pPr>
        <w:rPr>
          <w:sz w:val="20"/>
          <w:szCs w:val="20"/>
        </w:rPr>
      </w:pPr>
      <w:r w:rsidRPr="00B415E3">
        <w:rPr>
          <w:sz w:val="20"/>
          <w:szCs w:val="20"/>
        </w:rPr>
        <w:t xml:space="preserve">Geisser, S. (1974). A predictive approach to the random effect model. </w:t>
      </w:r>
      <w:r w:rsidRPr="00B415E3">
        <w:rPr>
          <w:i/>
          <w:iCs/>
          <w:sz w:val="20"/>
          <w:szCs w:val="20"/>
        </w:rPr>
        <w:t>Biometrika</w:t>
      </w:r>
      <w:r w:rsidRPr="00B415E3">
        <w:rPr>
          <w:sz w:val="20"/>
          <w:szCs w:val="20"/>
        </w:rPr>
        <w:t>, 61, 101-107.</w:t>
      </w:r>
    </w:p>
    <w:p w14:paraId="79190E31" w14:textId="0714E043" w:rsidR="0021652D" w:rsidRPr="00B415E3" w:rsidRDefault="001B2301">
      <w:pPr>
        <w:rPr>
          <w:sz w:val="20"/>
          <w:szCs w:val="20"/>
        </w:rPr>
      </w:pPr>
      <w:r w:rsidRPr="00B415E3">
        <w:rPr>
          <w:sz w:val="20"/>
          <w:szCs w:val="20"/>
        </w:rPr>
        <w:t xml:space="preserve">Gentile, D.A., </w:t>
      </w:r>
      <w:r w:rsidR="00750A9C">
        <w:rPr>
          <w:sz w:val="20"/>
          <w:szCs w:val="20"/>
        </w:rPr>
        <w:t xml:space="preserve">&amp; </w:t>
      </w:r>
      <w:r w:rsidRPr="00B415E3">
        <w:rPr>
          <w:sz w:val="20"/>
          <w:szCs w:val="20"/>
        </w:rPr>
        <w:t xml:space="preserve">Gentile, J.R. (2007) Video games as exemplary teachers, </w:t>
      </w:r>
      <w:r w:rsidRPr="00A703C9">
        <w:rPr>
          <w:i/>
          <w:iCs/>
          <w:sz w:val="20"/>
          <w:szCs w:val="20"/>
        </w:rPr>
        <w:t>Journal of Youth and Adolescence</w:t>
      </w:r>
      <w:r w:rsidRPr="00B415E3">
        <w:rPr>
          <w:sz w:val="20"/>
          <w:szCs w:val="20"/>
        </w:rPr>
        <w:t>, 1-38.</w:t>
      </w:r>
    </w:p>
    <w:p w14:paraId="51425B0C" w14:textId="77777777" w:rsidR="0021652D" w:rsidRPr="00B415E3" w:rsidRDefault="001B2301">
      <w:pPr>
        <w:rPr>
          <w:sz w:val="20"/>
          <w:szCs w:val="20"/>
        </w:rPr>
      </w:pPr>
      <w:r w:rsidRPr="00B415E3">
        <w:rPr>
          <w:sz w:val="20"/>
          <w:szCs w:val="20"/>
        </w:rPr>
        <w:t xml:space="preserve">Gerber, J. P., Wheeler, L., &amp; Suls, J. (2018). A social comparison theory meta-analysis 60+ years on. </w:t>
      </w:r>
      <w:r w:rsidRPr="00B415E3">
        <w:rPr>
          <w:i/>
          <w:sz w:val="20"/>
          <w:szCs w:val="20"/>
        </w:rPr>
        <w:t>Psychological Bulletin</w:t>
      </w:r>
      <w:r w:rsidRPr="00B415E3">
        <w:rPr>
          <w:sz w:val="20"/>
          <w:szCs w:val="20"/>
        </w:rPr>
        <w:t xml:space="preserve">, </w:t>
      </w:r>
      <w:r w:rsidRPr="00B415E3">
        <w:rPr>
          <w:i/>
          <w:sz w:val="20"/>
          <w:szCs w:val="20"/>
        </w:rPr>
        <w:t>144</w:t>
      </w:r>
      <w:r w:rsidRPr="00B415E3">
        <w:rPr>
          <w:sz w:val="20"/>
          <w:szCs w:val="20"/>
        </w:rPr>
        <w:t>(2), 177.</w:t>
      </w:r>
    </w:p>
    <w:p w14:paraId="79ABAEE7" w14:textId="6B23EDE3" w:rsidR="0021652D" w:rsidRPr="00B415E3" w:rsidRDefault="001B2301">
      <w:pPr>
        <w:rPr>
          <w:sz w:val="20"/>
          <w:szCs w:val="20"/>
        </w:rPr>
      </w:pPr>
      <w:r w:rsidRPr="00B415E3">
        <w:rPr>
          <w:sz w:val="20"/>
          <w:szCs w:val="20"/>
        </w:rPr>
        <w:t xml:space="preserve">Gibbons, F., </w:t>
      </w:r>
      <w:r w:rsidR="00750A9C">
        <w:rPr>
          <w:sz w:val="20"/>
          <w:szCs w:val="20"/>
        </w:rPr>
        <w:t xml:space="preserve">&amp; </w:t>
      </w:r>
      <w:r w:rsidRPr="00B415E3">
        <w:rPr>
          <w:sz w:val="20"/>
          <w:szCs w:val="20"/>
        </w:rPr>
        <w:t xml:space="preserve">Buunk, B.P. (1999) Individual differences in social comparison: The development of a scale of social comparison orientation. </w:t>
      </w:r>
      <w:r w:rsidRPr="00A703C9">
        <w:rPr>
          <w:i/>
          <w:iCs/>
          <w:sz w:val="20"/>
          <w:szCs w:val="20"/>
        </w:rPr>
        <w:t>Journal of Personality and Social Psychology</w:t>
      </w:r>
      <w:r w:rsidRPr="00B415E3">
        <w:rPr>
          <w:sz w:val="20"/>
          <w:szCs w:val="20"/>
        </w:rPr>
        <w:t>, 76:129-142.</w:t>
      </w:r>
    </w:p>
    <w:p w14:paraId="4A61C210" w14:textId="6E5CF6BA" w:rsidR="0021652D" w:rsidRPr="00B415E3" w:rsidRDefault="001B2301">
      <w:pPr>
        <w:rPr>
          <w:sz w:val="20"/>
          <w:szCs w:val="20"/>
        </w:rPr>
      </w:pPr>
      <w:r w:rsidRPr="00B415E3">
        <w:rPr>
          <w:sz w:val="20"/>
          <w:szCs w:val="20"/>
        </w:rPr>
        <w:t xml:space="preserve">Gilbert, P., Price, J., </w:t>
      </w:r>
      <w:r w:rsidR="00750A9C">
        <w:rPr>
          <w:sz w:val="20"/>
          <w:szCs w:val="20"/>
        </w:rPr>
        <w:t>&amp;</w:t>
      </w:r>
      <w:r w:rsidRPr="00B415E3">
        <w:rPr>
          <w:sz w:val="20"/>
          <w:szCs w:val="20"/>
        </w:rPr>
        <w:t xml:space="preserve"> Allan, S. (1995). Social comparison, social attractiveness and evolution: How might they be related? </w:t>
      </w:r>
      <w:r w:rsidRPr="00A703C9">
        <w:rPr>
          <w:i/>
          <w:iCs/>
          <w:sz w:val="20"/>
          <w:szCs w:val="20"/>
        </w:rPr>
        <w:t>New Ideas in Psychology</w:t>
      </w:r>
      <w:r w:rsidRPr="00B415E3">
        <w:rPr>
          <w:sz w:val="20"/>
          <w:szCs w:val="20"/>
        </w:rPr>
        <w:t>. 13(2):149-165.</w:t>
      </w:r>
    </w:p>
    <w:p w14:paraId="235EBA41" w14:textId="77777777" w:rsidR="0021652D" w:rsidRPr="00B415E3" w:rsidRDefault="001B2301">
      <w:pPr>
        <w:rPr>
          <w:sz w:val="20"/>
          <w:szCs w:val="20"/>
        </w:rPr>
      </w:pPr>
      <w:r w:rsidRPr="00B415E3">
        <w:rPr>
          <w:sz w:val="20"/>
          <w:szCs w:val="20"/>
        </w:rPr>
        <w:t xml:space="preserve">Gilbert, D. T., Giesler, R. B., &amp; Morris, K.A. (1995) When comparisons arise. </w:t>
      </w:r>
      <w:r w:rsidRPr="00EF5AB9">
        <w:rPr>
          <w:i/>
          <w:iCs/>
          <w:sz w:val="20"/>
          <w:szCs w:val="20"/>
        </w:rPr>
        <w:t>Journal of Personality and Social Psychology,</w:t>
      </w:r>
      <w:r w:rsidRPr="00B415E3">
        <w:rPr>
          <w:sz w:val="20"/>
          <w:szCs w:val="20"/>
        </w:rPr>
        <w:t xml:space="preserve"> 69:227-336.</w:t>
      </w:r>
    </w:p>
    <w:p w14:paraId="041C0C4F" w14:textId="77777777" w:rsidR="0021652D" w:rsidRPr="00B415E3" w:rsidRDefault="001B2301">
      <w:pPr>
        <w:rPr>
          <w:sz w:val="20"/>
          <w:szCs w:val="20"/>
        </w:rPr>
      </w:pPr>
      <w:r w:rsidRPr="00B415E3">
        <w:rPr>
          <w:sz w:val="20"/>
          <w:szCs w:val="20"/>
        </w:rPr>
        <w:t xml:space="preserve">Graves, L. M., Ruderman, M. N., Ohlott, P. J., &amp; Weber, T. J. (2012). Driven to work and enjoyment of work: Effects on managers’ outcomes. </w:t>
      </w:r>
      <w:r w:rsidRPr="00B415E3">
        <w:rPr>
          <w:i/>
          <w:sz w:val="20"/>
          <w:szCs w:val="20"/>
        </w:rPr>
        <w:t>Journal of Management</w:t>
      </w:r>
      <w:r w:rsidRPr="00B415E3">
        <w:rPr>
          <w:sz w:val="20"/>
          <w:szCs w:val="20"/>
        </w:rPr>
        <w:t xml:space="preserve">, </w:t>
      </w:r>
      <w:r w:rsidRPr="00B415E3">
        <w:rPr>
          <w:i/>
          <w:sz w:val="20"/>
          <w:szCs w:val="20"/>
        </w:rPr>
        <w:t>38</w:t>
      </w:r>
      <w:r w:rsidRPr="00B415E3">
        <w:rPr>
          <w:sz w:val="20"/>
          <w:szCs w:val="20"/>
        </w:rPr>
        <w:t>(5), 1655-1680</w:t>
      </w:r>
    </w:p>
    <w:p w14:paraId="4310EB1F" w14:textId="77777777" w:rsidR="0021652D" w:rsidRPr="00B415E3" w:rsidRDefault="001B2301">
      <w:pPr>
        <w:rPr>
          <w:sz w:val="20"/>
          <w:szCs w:val="20"/>
        </w:rPr>
      </w:pPr>
      <w:r w:rsidRPr="00B415E3">
        <w:rPr>
          <w:sz w:val="20"/>
          <w:szCs w:val="20"/>
        </w:rPr>
        <w:t xml:space="preserve">Greenberg, J., Ashton-James, C. E., &amp; Ashkanasy, N. M. (2007) Social comparison processes in organizations. </w:t>
      </w:r>
      <w:r w:rsidRPr="00EF5AB9">
        <w:rPr>
          <w:i/>
          <w:iCs/>
          <w:sz w:val="20"/>
          <w:szCs w:val="20"/>
        </w:rPr>
        <w:t>Organizational Behaviour and Human Decision Processes</w:t>
      </w:r>
      <w:r w:rsidRPr="00B415E3">
        <w:rPr>
          <w:sz w:val="20"/>
          <w:szCs w:val="20"/>
        </w:rPr>
        <w:t>, 102:22-41.</w:t>
      </w:r>
    </w:p>
    <w:p w14:paraId="7B18D57B" w14:textId="77777777" w:rsidR="0021652D" w:rsidRPr="00B415E3" w:rsidRDefault="001B2301">
      <w:pPr>
        <w:rPr>
          <w:sz w:val="20"/>
          <w:szCs w:val="20"/>
        </w:rPr>
      </w:pPr>
      <w:r w:rsidRPr="00B415E3">
        <w:rPr>
          <w:sz w:val="20"/>
          <w:szCs w:val="20"/>
        </w:rPr>
        <w:t>Hair, J. F., Hult, G. T. M., Ringle, C. M., &amp; Sarstedt, M. (2017) A Primer on Partial Least Squares Structural Equation Modeling (PLS-SEM) (2nd ed.). Thousand Oakes,CA: Sage.</w:t>
      </w:r>
    </w:p>
    <w:p w14:paraId="02C2CBFE" w14:textId="77777777" w:rsidR="0021652D" w:rsidRPr="00B415E3" w:rsidRDefault="001B2301">
      <w:pPr>
        <w:rPr>
          <w:sz w:val="20"/>
          <w:szCs w:val="20"/>
        </w:rPr>
      </w:pPr>
      <w:r w:rsidRPr="00B415E3">
        <w:rPr>
          <w:sz w:val="20"/>
          <w:szCs w:val="20"/>
        </w:rPr>
        <w:t xml:space="preserve">Hakmiller, K. L. (1966) Threat as a determinant of downward comparison. </w:t>
      </w:r>
      <w:r w:rsidRPr="00EF5AB9">
        <w:rPr>
          <w:i/>
          <w:iCs/>
          <w:sz w:val="20"/>
          <w:szCs w:val="20"/>
        </w:rPr>
        <w:t>Journal of Experimental Social Psychology Suplement</w:t>
      </w:r>
      <w:r w:rsidRPr="00B415E3">
        <w:rPr>
          <w:sz w:val="20"/>
          <w:szCs w:val="20"/>
        </w:rPr>
        <w:t xml:space="preserve"> 1:32-39.</w:t>
      </w:r>
    </w:p>
    <w:p w14:paraId="06188FF1" w14:textId="77777777" w:rsidR="0021652D" w:rsidRPr="00B415E3" w:rsidRDefault="001B2301">
      <w:pPr>
        <w:rPr>
          <w:sz w:val="20"/>
          <w:szCs w:val="20"/>
        </w:rPr>
      </w:pPr>
      <w:r w:rsidRPr="00B415E3">
        <w:rPr>
          <w:sz w:val="20"/>
          <w:szCs w:val="20"/>
        </w:rPr>
        <w:t xml:space="preserve">Hamari, J., &amp; Tuunanen, J. (2014) Player types: A meta-synthesis. </w:t>
      </w:r>
      <w:r w:rsidRPr="00EF4568">
        <w:rPr>
          <w:i/>
          <w:iCs/>
          <w:sz w:val="20"/>
          <w:szCs w:val="20"/>
        </w:rPr>
        <w:t>Transactions of the Digital Games Research Association</w:t>
      </w:r>
      <w:r w:rsidRPr="00B415E3">
        <w:rPr>
          <w:sz w:val="20"/>
          <w:szCs w:val="20"/>
        </w:rPr>
        <w:t>, 1(2):29–53.</w:t>
      </w:r>
    </w:p>
    <w:p w14:paraId="7756BAA9" w14:textId="137D61BF" w:rsidR="0021652D" w:rsidRPr="00B415E3" w:rsidRDefault="001B2301">
      <w:pPr>
        <w:rPr>
          <w:sz w:val="20"/>
          <w:szCs w:val="20"/>
        </w:rPr>
      </w:pPr>
      <w:r w:rsidRPr="00B415E3">
        <w:rPr>
          <w:sz w:val="20"/>
          <w:szCs w:val="20"/>
        </w:rPr>
        <w:t xml:space="preserve">Hannon, S. M. (2018). </w:t>
      </w:r>
      <w:r w:rsidRPr="00EF4568">
        <w:rPr>
          <w:iCs/>
          <w:sz w:val="20"/>
          <w:szCs w:val="20"/>
        </w:rPr>
        <w:t>Do Factors of Social Comparison Theory Influence School Choice in a Public</w:t>
      </w:r>
      <w:r w:rsidR="004C63B0">
        <w:rPr>
          <w:iCs/>
          <w:sz w:val="20"/>
          <w:szCs w:val="20"/>
        </w:rPr>
        <w:t xml:space="preserve"> </w:t>
      </w:r>
      <w:r w:rsidRPr="00EF4568">
        <w:rPr>
          <w:iCs/>
          <w:sz w:val="20"/>
          <w:szCs w:val="20"/>
        </w:rPr>
        <w:t>School Marketplace?</w:t>
      </w:r>
      <w:r w:rsidRPr="00B415E3">
        <w:rPr>
          <w:sz w:val="20"/>
          <w:szCs w:val="20"/>
        </w:rPr>
        <w:t xml:space="preserve"> (Doctoral dissertation, Indiana State University)</w:t>
      </w:r>
    </w:p>
    <w:p w14:paraId="541F3DBD" w14:textId="025FC7E6" w:rsidR="00F95AFC" w:rsidRPr="00B415E3" w:rsidRDefault="00F95AFC" w:rsidP="00F95AFC">
      <w:pPr>
        <w:rPr>
          <w:sz w:val="20"/>
          <w:szCs w:val="20"/>
          <w:lang w:val="en-US"/>
        </w:rPr>
      </w:pPr>
      <w:r w:rsidRPr="00B415E3">
        <w:rPr>
          <w:sz w:val="20"/>
          <w:szCs w:val="20"/>
          <w:lang w:val="en-US"/>
        </w:rPr>
        <w:t xml:space="preserve">Henseler, J., Dijkstra, T. K., Sarstedt, M., Ringle, C. M., Diamantopoulos, A., Straub, D. W., ... &amp; Calantone, R. J. (2014). Common beliefs and reality about PLS: Comments on Rönkkö and Evermann (2013). </w:t>
      </w:r>
      <w:r w:rsidRPr="00B415E3">
        <w:rPr>
          <w:i/>
          <w:iCs/>
          <w:sz w:val="20"/>
          <w:szCs w:val="20"/>
          <w:lang w:val="en-US"/>
        </w:rPr>
        <w:t xml:space="preserve">Organizational </w:t>
      </w:r>
      <w:r w:rsidR="00253DB5" w:rsidRPr="00B415E3">
        <w:rPr>
          <w:i/>
          <w:iCs/>
          <w:sz w:val="20"/>
          <w:szCs w:val="20"/>
          <w:lang w:val="en-US"/>
        </w:rPr>
        <w:t>R</w:t>
      </w:r>
      <w:r w:rsidRPr="00B415E3">
        <w:rPr>
          <w:i/>
          <w:iCs/>
          <w:sz w:val="20"/>
          <w:szCs w:val="20"/>
          <w:lang w:val="en-US"/>
        </w:rPr>
        <w:t xml:space="preserve">esearch </w:t>
      </w:r>
      <w:r w:rsidR="00253DB5" w:rsidRPr="00B415E3">
        <w:rPr>
          <w:i/>
          <w:iCs/>
          <w:sz w:val="20"/>
          <w:szCs w:val="20"/>
          <w:lang w:val="en-US"/>
        </w:rPr>
        <w:t>M</w:t>
      </w:r>
      <w:r w:rsidRPr="00B415E3">
        <w:rPr>
          <w:i/>
          <w:iCs/>
          <w:sz w:val="20"/>
          <w:szCs w:val="20"/>
          <w:lang w:val="en-US"/>
        </w:rPr>
        <w:t>ethods</w:t>
      </w:r>
      <w:r w:rsidRPr="00B415E3">
        <w:rPr>
          <w:sz w:val="20"/>
          <w:szCs w:val="20"/>
          <w:lang w:val="en-US"/>
        </w:rPr>
        <w:t xml:space="preserve">, </w:t>
      </w:r>
      <w:r w:rsidRPr="00B415E3">
        <w:rPr>
          <w:i/>
          <w:iCs/>
          <w:sz w:val="20"/>
          <w:szCs w:val="20"/>
          <w:lang w:val="en-US"/>
        </w:rPr>
        <w:t>17</w:t>
      </w:r>
      <w:r w:rsidRPr="00B415E3">
        <w:rPr>
          <w:sz w:val="20"/>
          <w:szCs w:val="20"/>
          <w:lang w:val="en-US"/>
        </w:rPr>
        <w:t>(2), 182-209.</w:t>
      </w:r>
    </w:p>
    <w:p w14:paraId="5543D960" w14:textId="77777777" w:rsidR="0021652D" w:rsidRPr="00B415E3" w:rsidRDefault="001B2301">
      <w:pPr>
        <w:rPr>
          <w:sz w:val="20"/>
          <w:szCs w:val="20"/>
        </w:rPr>
      </w:pPr>
      <w:r w:rsidRPr="00B415E3">
        <w:rPr>
          <w:sz w:val="20"/>
          <w:szCs w:val="20"/>
        </w:rPr>
        <w:t xml:space="preserve">Hong, J-C., Lin, P-H., &amp; Hsieh, P-C. (2017). The effect of consumer innovativeness on perceived value and continuance intention to use smartwatch. </w:t>
      </w:r>
      <w:r w:rsidRPr="007C63EA">
        <w:rPr>
          <w:i/>
          <w:iCs/>
          <w:sz w:val="20"/>
          <w:szCs w:val="20"/>
        </w:rPr>
        <w:t>Computers in Human Behaviour</w:t>
      </w:r>
      <w:r w:rsidRPr="00B415E3">
        <w:rPr>
          <w:sz w:val="20"/>
          <w:szCs w:val="20"/>
        </w:rPr>
        <w:t>, 67:264-272.</w:t>
      </w:r>
    </w:p>
    <w:p w14:paraId="26F70979" w14:textId="77777777" w:rsidR="0021652D" w:rsidRPr="00B415E3" w:rsidRDefault="001B2301">
      <w:pPr>
        <w:rPr>
          <w:sz w:val="20"/>
          <w:szCs w:val="20"/>
        </w:rPr>
      </w:pPr>
      <w:r w:rsidRPr="00B415E3">
        <w:rPr>
          <w:sz w:val="20"/>
          <w:szCs w:val="20"/>
        </w:rPr>
        <w:t xml:space="preserve">Hsiao, C. C &amp; Chou, J.S. (2012a) The effects of a player’s network centrality on resource accessibility, game enjoyment, and continuance intention: A study on online gaming communities. </w:t>
      </w:r>
      <w:r w:rsidRPr="007C63EA">
        <w:rPr>
          <w:i/>
          <w:iCs/>
          <w:sz w:val="20"/>
          <w:szCs w:val="20"/>
        </w:rPr>
        <w:t>Electronic Commerce Research and Applications</w:t>
      </w:r>
      <w:r w:rsidRPr="00B415E3">
        <w:rPr>
          <w:sz w:val="20"/>
          <w:szCs w:val="20"/>
        </w:rPr>
        <w:t>, 11:75–84.</w:t>
      </w:r>
    </w:p>
    <w:p w14:paraId="6E333960" w14:textId="4C9214E4" w:rsidR="0021652D" w:rsidRPr="00B415E3" w:rsidRDefault="001B2301">
      <w:pPr>
        <w:rPr>
          <w:sz w:val="20"/>
          <w:szCs w:val="20"/>
        </w:rPr>
      </w:pPr>
      <w:r w:rsidRPr="00B415E3">
        <w:rPr>
          <w:sz w:val="20"/>
          <w:szCs w:val="20"/>
        </w:rPr>
        <w:t xml:space="preserve">Hsiao, C. C., &amp; Chiou, J. S. (2012b). The impact of online community position on online game continuance intention: Do game knowledge and community size matter? </w:t>
      </w:r>
      <w:r w:rsidRPr="00B415E3">
        <w:rPr>
          <w:i/>
          <w:sz w:val="20"/>
          <w:szCs w:val="20"/>
        </w:rPr>
        <w:t>Information &amp; Management</w:t>
      </w:r>
      <w:r w:rsidRPr="00B415E3">
        <w:rPr>
          <w:sz w:val="20"/>
          <w:szCs w:val="20"/>
        </w:rPr>
        <w:t xml:space="preserve">, </w:t>
      </w:r>
      <w:r w:rsidRPr="00B415E3">
        <w:rPr>
          <w:i/>
          <w:sz w:val="20"/>
          <w:szCs w:val="20"/>
        </w:rPr>
        <w:t>49</w:t>
      </w:r>
      <w:r w:rsidRPr="00B415E3">
        <w:rPr>
          <w:sz w:val="20"/>
          <w:szCs w:val="20"/>
        </w:rPr>
        <w:t>(6), 292-300.</w:t>
      </w:r>
    </w:p>
    <w:p w14:paraId="3E2D1096" w14:textId="5B2ED878" w:rsidR="0021652D" w:rsidRPr="00B415E3" w:rsidRDefault="001B2301">
      <w:pPr>
        <w:rPr>
          <w:sz w:val="20"/>
          <w:szCs w:val="20"/>
        </w:rPr>
      </w:pPr>
      <w:r w:rsidRPr="00B415E3">
        <w:rPr>
          <w:sz w:val="20"/>
          <w:szCs w:val="20"/>
        </w:rPr>
        <w:t xml:space="preserve">Hsu, C. L., </w:t>
      </w:r>
      <w:r w:rsidR="00750A9C">
        <w:rPr>
          <w:sz w:val="20"/>
          <w:szCs w:val="20"/>
        </w:rPr>
        <w:t xml:space="preserve">&amp; </w:t>
      </w:r>
      <w:r w:rsidRPr="00B415E3">
        <w:rPr>
          <w:sz w:val="20"/>
          <w:szCs w:val="20"/>
        </w:rPr>
        <w:t xml:space="preserve">Lu, H. P. (2007) Consumer behaviour in online game communities: a motivational factor perspective. </w:t>
      </w:r>
      <w:r w:rsidRPr="007A0E45">
        <w:rPr>
          <w:i/>
          <w:iCs/>
          <w:sz w:val="20"/>
          <w:szCs w:val="20"/>
        </w:rPr>
        <w:t>Computers in Human Behaviour</w:t>
      </w:r>
      <w:r w:rsidRPr="00B415E3">
        <w:rPr>
          <w:sz w:val="20"/>
          <w:szCs w:val="20"/>
        </w:rPr>
        <w:t>, 23(3):1642–1659.</w:t>
      </w:r>
    </w:p>
    <w:p w14:paraId="61E215F1" w14:textId="65E9E2C6" w:rsidR="0021652D" w:rsidRPr="00B415E3" w:rsidRDefault="001B2301">
      <w:pPr>
        <w:rPr>
          <w:sz w:val="20"/>
          <w:szCs w:val="20"/>
        </w:rPr>
      </w:pPr>
      <w:r w:rsidRPr="00B415E3">
        <w:rPr>
          <w:sz w:val="20"/>
          <w:szCs w:val="20"/>
        </w:rPr>
        <w:lastRenderedPageBreak/>
        <w:t xml:space="preserve">Hsu, M. H., &amp; Chiu, C. M. (2004). Internet self-efficacy and electronic service acceptance. </w:t>
      </w:r>
      <w:r w:rsidRPr="00B415E3">
        <w:rPr>
          <w:i/>
          <w:sz w:val="20"/>
          <w:szCs w:val="20"/>
        </w:rPr>
        <w:t>Decision Support Systems</w:t>
      </w:r>
      <w:r w:rsidRPr="00B415E3">
        <w:rPr>
          <w:sz w:val="20"/>
          <w:szCs w:val="20"/>
        </w:rPr>
        <w:t xml:space="preserve">, </w:t>
      </w:r>
      <w:r w:rsidRPr="00B415E3">
        <w:rPr>
          <w:i/>
          <w:sz w:val="20"/>
          <w:szCs w:val="20"/>
        </w:rPr>
        <w:t>38</w:t>
      </w:r>
      <w:r w:rsidRPr="00B415E3">
        <w:rPr>
          <w:sz w:val="20"/>
          <w:szCs w:val="20"/>
        </w:rPr>
        <w:t>(3), 369-381.</w:t>
      </w:r>
    </w:p>
    <w:p w14:paraId="58ADA097" w14:textId="5CD21562" w:rsidR="000448F7" w:rsidRPr="00B415E3" w:rsidRDefault="000448F7" w:rsidP="000448F7">
      <w:pPr>
        <w:jc w:val="left"/>
        <w:rPr>
          <w:sz w:val="20"/>
          <w:szCs w:val="20"/>
          <w:lang w:val="en-US"/>
        </w:rPr>
      </w:pPr>
      <w:r w:rsidRPr="00B415E3">
        <w:rPr>
          <w:sz w:val="20"/>
          <w:szCs w:val="20"/>
          <w:lang w:val="en-US"/>
        </w:rPr>
        <w:t xml:space="preserve">Hu, L. T., &amp; Bentler, P. M. (1999). Cutoff criteria for fit indexes in covariance structure analysis: Conventional criteria versus new alternatives. </w:t>
      </w:r>
      <w:r w:rsidRPr="00B415E3">
        <w:rPr>
          <w:i/>
          <w:iCs/>
          <w:sz w:val="20"/>
          <w:szCs w:val="20"/>
          <w:lang w:val="en-US"/>
        </w:rPr>
        <w:t>Structural Equation Modeling: A Multidisciplinary Journal</w:t>
      </w:r>
      <w:r w:rsidRPr="00B415E3">
        <w:rPr>
          <w:sz w:val="20"/>
          <w:szCs w:val="20"/>
          <w:lang w:val="en-US"/>
        </w:rPr>
        <w:t xml:space="preserve">, </w:t>
      </w:r>
      <w:r w:rsidRPr="00B415E3">
        <w:rPr>
          <w:i/>
          <w:iCs/>
          <w:sz w:val="20"/>
          <w:szCs w:val="20"/>
          <w:lang w:val="en-US"/>
        </w:rPr>
        <w:t>6</w:t>
      </w:r>
      <w:r w:rsidRPr="00B415E3">
        <w:rPr>
          <w:sz w:val="20"/>
          <w:szCs w:val="20"/>
          <w:lang w:val="en-US"/>
        </w:rPr>
        <w:t>(1), 1-55.</w:t>
      </w:r>
    </w:p>
    <w:p w14:paraId="3970BB62" w14:textId="3A9486EE" w:rsidR="0021652D" w:rsidRPr="00B415E3" w:rsidRDefault="001B2301">
      <w:pPr>
        <w:rPr>
          <w:sz w:val="20"/>
          <w:szCs w:val="20"/>
        </w:rPr>
      </w:pPr>
      <w:r w:rsidRPr="00B415E3">
        <w:rPr>
          <w:sz w:val="20"/>
          <w:szCs w:val="20"/>
        </w:rPr>
        <w:t xml:space="preserve">Huang, L.Y., </w:t>
      </w:r>
      <w:r w:rsidR="00251349">
        <w:rPr>
          <w:sz w:val="20"/>
          <w:szCs w:val="20"/>
        </w:rPr>
        <w:t xml:space="preserve">&amp; </w:t>
      </w:r>
      <w:r w:rsidRPr="00B415E3">
        <w:rPr>
          <w:sz w:val="20"/>
          <w:szCs w:val="20"/>
        </w:rPr>
        <w:t xml:space="preserve">Hsieh, Y.J. (2011) Predicting online game loyalty based on need gratification and experiential motives. </w:t>
      </w:r>
      <w:r w:rsidRPr="006501E6">
        <w:rPr>
          <w:i/>
          <w:iCs/>
          <w:sz w:val="20"/>
          <w:szCs w:val="20"/>
        </w:rPr>
        <w:t>Internet Research</w:t>
      </w:r>
      <w:r w:rsidRPr="00B415E3">
        <w:rPr>
          <w:sz w:val="20"/>
          <w:szCs w:val="20"/>
        </w:rPr>
        <w:t>, 21(5):581-598.</w:t>
      </w:r>
    </w:p>
    <w:p w14:paraId="34D1699B" w14:textId="4FBBBB8E" w:rsidR="0021652D" w:rsidRPr="00B415E3" w:rsidRDefault="001B2301">
      <w:pPr>
        <w:rPr>
          <w:sz w:val="20"/>
          <w:szCs w:val="20"/>
        </w:rPr>
      </w:pPr>
      <w:r w:rsidRPr="00B415E3">
        <w:rPr>
          <w:sz w:val="20"/>
          <w:szCs w:val="20"/>
        </w:rPr>
        <w:t xml:space="preserve">Jankowski KF, </w:t>
      </w:r>
      <w:r w:rsidR="00251349">
        <w:rPr>
          <w:sz w:val="20"/>
          <w:szCs w:val="20"/>
        </w:rPr>
        <w:t xml:space="preserve">&amp; </w:t>
      </w:r>
      <w:r w:rsidRPr="00B415E3">
        <w:rPr>
          <w:sz w:val="20"/>
          <w:szCs w:val="20"/>
        </w:rPr>
        <w:t xml:space="preserve">Takahashi H (2014) Cognitive neuroscience of social emotions and implications for psychopathology: Examining embarrassment, guilt, envy, and schadenfreude. </w:t>
      </w:r>
      <w:r w:rsidRPr="00773B35">
        <w:rPr>
          <w:i/>
          <w:iCs/>
          <w:sz w:val="20"/>
          <w:szCs w:val="20"/>
        </w:rPr>
        <w:t>Psychiatry and Clinical Neurosciences</w:t>
      </w:r>
      <w:r w:rsidRPr="00B415E3">
        <w:rPr>
          <w:sz w:val="20"/>
          <w:szCs w:val="20"/>
        </w:rPr>
        <w:t>. 68:319–336.</w:t>
      </w:r>
    </w:p>
    <w:p w14:paraId="60CD3254" w14:textId="77777777" w:rsidR="0021652D" w:rsidRPr="00B415E3" w:rsidRDefault="001B2301">
      <w:pPr>
        <w:rPr>
          <w:sz w:val="20"/>
          <w:szCs w:val="20"/>
        </w:rPr>
      </w:pPr>
      <w:r w:rsidRPr="00B415E3">
        <w:rPr>
          <w:sz w:val="20"/>
          <w:szCs w:val="20"/>
        </w:rPr>
        <w:t xml:space="preserve">Jegers, K. (2007). Pervasive game flow: understanding player enjoyment in pervasive gaming. </w:t>
      </w:r>
      <w:r w:rsidRPr="00B415E3">
        <w:rPr>
          <w:i/>
          <w:sz w:val="20"/>
          <w:szCs w:val="20"/>
        </w:rPr>
        <w:t>Computers in Entertainment (CIE)</w:t>
      </w:r>
      <w:r w:rsidRPr="00B415E3">
        <w:rPr>
          <w:sz w:val="20"/>
          <w:szCs w:val="20"/>
        </w:rPr>
        <w:t xml:space="preserve">, </w:t>
      </w:r>
      <w:r w:rsidRPr="00B415E3">
        <w:rPr>
          <w:i/>
          <w:sz w:val="20"/>
          <w:szCs w:val="20"/>
        </w:rPr>
        <w:t>5</w:t>
      </w:r>
      <w:r w:rsidRPr="00B415E3">
        <w:rPr>
          <w:sz w:val="20"/>
          <w:szCs w:val="20"/>
        </w:rPr>
        <w:t>(1), 9-es.</w:t>
      </w:r>
    </w:p>
    <w:p w14:paraId="3B10A43F" w14:textId="43DC4875" w:rsidR="0021652D" w:rsidRPr="00B415E3" w:rsidRDefault="001B2301">
      <w:pPr>
        <w:rPr>
          <w:sz w:val="20"/>
          <w:szCs w:val="20"/>
        </w:rPr>
      </w:pPr>
      <w:r w:rsidRPr="00B415E3">
        <w:rPr>
          <w:sz w:val="20"/>
          <w:szCs w:val="20"/>
        </w:rPr>
        <w:t xml:space="preserve">Jehad Imlawi &amp; Dawn Gregg (2020) Understanding the satisfaction and continuance intention of knowledge contribution by health professionals in online health communities, </w:t>
      </w:r>
      <w:r w:rsidRPr="00B415E3">
        <w:rPr>
          <w:i/>
          <w:sz w:val="20"/>
          <w:szCs w:val="20"/>
        </w:rPr>
        <w:t>Informatics for Health and Social Care</w:t>
      </w:r>
      <w:r w:rsidRPr="00B415E3">
        <w:rPr>
          <w:sz w:val="20"/>
          <w:szCs w:val="20"/>
        </w:rPr>
        <w:t>, 45</w:t>
      </w:r>
      <w:r w:rsidR="001C4A05">
        <w:rPr>
          <w:sz w:val="20"/>
          <w:szCs w:val="20"/>
        </w:rPr>
        <w:t>(</w:t>
      </w:r>
      <w:r w:rsidRPr="00B415E3">
        <w:rPr>
          <w:sz w:val="20"/>
          <w:szCs w:val="20"/>
        </w:rPr>
        <w:t>2</w:t>
      </w:r>
      <w:r w:rsidR="001C4A05">
        <w:rPr>
          <w:sz w:val="20"/>
          <w:szCs w:val="20"/>
        </w:rPr>
        <w:t>):</w:t>
      </w:r>
      <w:r w:rsidRPr="00B415E3">
        <w:rPr>
          <w:sz w:val="20"/>
          <w:szCs w:val="20"/>
        </w:rPr>
        <w:t xml:space="preserve"> 151-167.</w:t>
      </w:r>
    </w:p>
    <w:p w14:paraId="0879D5AA" w14:textId="435ECEEC" w:rsidR="0021652D" w:rsidRPr="00B415E3" w:rsidRDefault="001B2301">
      <w:pPr>
        <w:rPr>
          <w:sz w:val="20"/>
          <w:szCs w:val="20"/>
        </w:rPr>
      </w:pPr>
      <w:r w:rsidRPr="00B415E3">
        <w:rPr>
          <w:sz w:val="20"/>
          <w:szCs w:val="20"/>
        </w:rPr>
        <w:t xml:space="preserve">Johnson, E. A., </w:t>
      </w:r>
      <w:r w:rsidR="00251349">
        <w:rPr>
          <w:sz w:val="20"/>
          <w:szCs w:val="20"/>
        </w:rPr>
        <w:t xml:space="preserve">&amp; </w:t>
      </w:r>
      <w:r w:rsidRPr="00B415E3">
        <w:rPr>
          <w:sz w:val="20"/>
          <w:szCs w:val="20"/>
        </w:rPr>
        <w:t xml:space="preserve">Stewart, D. W. (2008) Perceived competence in supervisory roles: A social cognitive analysis, </w:t>
      </w:r>
      <w:r w:rsidRPr="001C4A05">
        <w:rPr>
          <w:i/>
          <w:iCs/>
          <w:sz w:val="20"/>
          <w:szCs w:val="20"/>
        </w:rPr>
        <w:t>Training and Education in Professional Psychology</w:t>
      </w:r>
      <w:r w:rsidRPr="00B415E3">
        <w:rPr>
          <w:sz w:val="20"/>
          <w:szCs w:val="20"/>
        </w:rPr>
        <w:t>, 2:229-236.</w:t>
      </w:r>
    </w:p>
    <w:p w14:paraId="450686E4" w14:textId="2313999B" w:rsidR="0021652D" w:rsidRPr="00B415E3" w:rsidRDefault="001B2301">
      <w:pPr>
        <w:rPr>
          <w:sz w:val="20"/>
          <w:szCs w:val="20"/>
        </w:rPr>
      </w:pPr>
      <w:r w:rsidRPr="00B415E3">
        <w:rPr>
          <w:sz w:val="20"/>
          <w:szCs w:val="20"/>
        </w:rPr>
        <w:t xml:space="preserve">Joo, Y. J., Bong, M., &amp; Choi, H. J. (2000). Self-efficacy for self-regulated learning, academic self-efficacy, and Internet self-efficacy in Web-based instruction. </w:t>
      </w:r>
      <w:r w:rsidRPr="00B415E3">
        <w:rPr>
          <w:i/>
          <w:sz w:val="20"/>
          <w:szCs w:val="20"/>
        </w:rPr>
        <w:t>Educational Technology Research and Development</w:t>
      </w:r>
      <w:r w:rsidRPr="00B415E3">
        <w:rPr>
          <w:sz w:val="20"/>
          <w:szCs w:val="20"/>
        </w:rPr>
        <w:t xml:space="preserve">, </w:t>
      </w:r>
      <w:r w:rsidRPr="00B415E3">
        <w:rPr>
          <w:i/>
          <w:sz w:val="20"/>
          <w:szCs w:val="20"/>
        </w:rPr>
        <w:t>48</w:t>
      </w:r>
      <w:r w:rsidRPr="00B415E3">
        <w:rPr>
          <w:sz w:val="20"/>
          <w:szCs w:val="20"/>
        </w:rPr>
        <w:t>(2)</w:t>
      </w:r>
      <w:r w:rsidR="001C4A05">
        <w:rPr>
          <w:sz w:val="20"/>
          <w:szCs w:val="20"/>
        </w:rPr>
        <w:t>:</w:t>
      </w:r>
      <w:r w:rsidRPr="00B415E3">
        <w:rPr>
          <w:sz w:val="20"/>
          <w:szCs w:val="20"/>
        </w:rPr>
        <w:t>5-17.</w:t>
      </w:r>
    </w:p>
    <w:p w14:paraId="2671B225" w14:textId="2734F97F" w:rsidR="0021652D" w:rsidRPr="00B415E3" w:rsidRDefault="001B2301">
      <w:pPr>
        <w:rPr>
          <w:sz w:val="20"/>
          <w:szCs w:val="20"/>
        </w:rPr>
      </w:pPr>
      <w:r w:rsidRPr="00B415E3">
        <w:rPr>
          <w:sz w:val="20"/>
          <w:szCs w:val="20"/>
        </w:rPr>
        <w:t xml:space="preserve">Kawale, J. Pal, A., </w:t>
      </w:r>
      <w:r w:rsidR="00251349">
        <w:rPr>
          <w:sz w:val="20"/>
          <w:szCs w:val="20"/>
        </w:rPr>
        <w:t>&amp;</w:t>
      </w:r>
      <w:r w:rsidRPr="00B415E3">
        <w:rPr>
          <w:sz w:val="20"/>
          <w:szCs w:val="20"/>
        </w:rPr>
        <w:t xml:space="preserve">Srivastava, J. (2009) Churn Prediction in MMORPGs: A Social Influence Based Approach. In </w:t>
      </w:r>
      <w:r w:rsidRPr="00622E7C">
        <w:rPr>
          <w:i/>
          <w:iCs/>
          <w:sz w:val="20"/>
          <w:szCs w:val="20"/>
        </w:rPr>
        <w:t>Proceedings of the Computational Science and Engineering</w:t>
      </w:r>
      <w:r w:rsidRPr="00B415E3">
        <w:rPr>
          <w:sz w:val="20"/>
          <w:szCs w:val="20"/>
        </w:rPr>
        <w:t>. 4:423–428.</w:t>
      </w:r>
    </w:p>
    <w:p w14:paraId="72CBFCB2" w14:textId="77777777" w:rsidR="0021652D" w:rsidRPr="00B415E3" w:rsidRDefault="001B2301">
      <w:pPr>
        <w:rPr>
          <w:sz w:val="20"/>
          <w:szCs w:val="20"/>
        </w:rPr>
      </w:pPr>
      <w:r w:rsidRPr="00B415E3">
        <w:rPr>
          <w:sz w:val="20"/>
          <w:szCs w:val="20"/>
        </w:rPr>
        <w:t xml:space="preserve">Keil, A., Mussweiler, T. and Epstude, K. (2006) Alpha-band activity reflects reduction of mental effort in a comparison task: a source space analysis. </w:t>
      </w:r>
      <w:r w:rsidRPr="001C1283">
        <w:rPr>
          <w:i/>
          <w:iCs/>
          <w:sz w:val="20"/>
          <w:szCs w:val="20"/>
        </w:rPr>
        <w:t>Brain Research,</w:t>
      </w:r>
      <w:r w:rsidRPr="00B415E3">
        <w:rPr>
          <w:sz w:val="20"/>
          <w:szCs w:val="20"/>
        </w:rPr>
        <w:t xml:space="preserve"> 1121(1):117-127.</w:t>
      </w:r>
    </w:p>
    <w:p w14:paraId="0361C9BD" w14:textId="5985054A" w:rsidR="001639DD" w:rsidRDefault="001B2301" w:rsidP="001639DD">
      <w:pPr>
        <w:spacing w:after="240"/>
        <w:rPr>
          <w:sz w:val="20"/>
          <w:szCs w:val="20"/>
        </w:rPr>
      </w:pPr>
      <w:r w:rsidRPr="00B415E3">
        <w:rPr>
          <w:sz w:val="20"/>
          <w:szCs w:val="20"/>
        </w:rPr>
        <w:t xml:space="preserve">Kemmelmeier, M., &amp; Oyserman, D. (2001) Gendered influence of downward social comparisons on current and possible selves. </w:t>
      </w:r>
      <w:r w:rsidRPr="009751A9">
        <w:rPr>
          <w:i/>
          <w:iCs/>
          <w:sz w:val="20"/>
          <w:szCs w:val="20"/>
        </w:rPr>
        <w:t>Journal of Social Issues</w:t>
      </w:r>
      <w:r w:rsidRPr="00B415E3">
        <w:rPr>
          <w:sz w:val="20"/>
          <w:szCs w:val="20"/>
        </w:rPr>
        <w:t>, 57(1):129-148.</w:t>
      </w:r>
    </w:p>
    <w:p w14:paraId="2DB51480" w14:textId="5777E198" w:rsidR="001639DD" w:rsidRPr="001639DD" w:rsidRDefault="001639DD" w:rsidP="001639DD">
      <w:pPr>
        <w:autoSpaceDE w:val="0"/>
        <w:autoSpaceDN w:val="0"/>
        <w:adjustRightInd w:val="0"/>
        <w:spacing w:before="0"/>
        <w:jc w:val="left"/>
        <w:rPr>
          <w:sz w:val="20"/>
          <w:szCs w:val="20"/>
          <w:lang w:val="en-US"/>
        </w:rPr>
      </w:pPr>
      <w:r w:rsidRPr="001639DD">
        <w:rPr>
          <w:sz w:val="20"/>
          <w:szCs w:val="20"/>
          <w:lang w:val="en-US"/>
        </w:rPr>
        <w:t>Ketter,</w:t>
      </w:r>
      <w:r>
        <w:rPr>
          <w:sz w:val="20"/>
          <w:szCs w:val="20"/>
          <w:lang w:val="en-US"/>
        </w:rPr>
        <w:t xml:space="preserve"> </w:t>
      </w:r>
      <w:r w:rsidRPr="001639DD">
        <w:rPr>
          <w:sz w:val="20"/>
          <w:szCs w:val="20"/>
          <w:lang w:val="en-US"/>
        </w:rPr>
        <w:t xml:space="preserve">W., Peters, M., Collins, J., </w:t>
      </w:r>
      <w:r w:rsidR="00251349">
        <w:rPr>
          <w:sz w:val="20"/>
          <w:szCs w:val="20"/>
          <w:lang w:val="en-US"/>
        </w:rPr>
        <w:t>&amp;</w:t>
      </w:r>
      <w:r w:rsidRPr="001639DD">
        <w:rPr>
          <w:sz w:val="20"/>
          <w:szCs w:val="20"/>
          <w:lang w:val="en-US"/>
        </w:rPr>
        <w:t xml:space="preserve"> Gupta, A. 2016. A Multiagent Competitive Gaming Platform to</w:t>
      </w:r>
      <w:r>
        <w:rPr>
          <w:sz w:val="20"/>
          <w:szCs w:val="20"/>
          <w:lang w:val="en-US"/>
        </w:rPr>
        <w:t xml:space="preserve"> </w:t>
      </w:r>
      <w:r w:rsidRPr="001639DD">
        <w:rPr>
          <w:sz w:val="20"/>
          <w:szCs w:val="20"/>
          <w:lang w:val="en-US"/>
        </w:rPr>
        <w:t xml:space="preserve">Address Societal Challenges, </w:t>
      </w:r>
      <w:r w:rsidRPr="001639DD">
        <w:rPr>
          <w:i/>
          <w:iCs/>
          <w:sz w:val="20"/>
          <w:szCs w:val="20"/>
          <w:lang w:val="en-US"/>
        </w:rPr>
        <w:t>Management Information Systems Quarterly</w:t>
      </w:r>
      <w:r w:rsidRPr="001639DD">
        <w:rPr>
          <w:sz w:val="20"/>
          <w:szCs w:val="20"/>
          <w:lang w:val="en-US"/>
        </w:rPr>
        <w:t xml:space="preserve"> (40:2)</w:t>
      </w:r>
      <w:r>
        <w:rPr>
          <w:sz w:val="20"/>
          <w:szCs w:val="20"/>
          <w:lang w:val="en-US"/>
        </w:rPr>
        <w:t xml:space="preserve">: </w:t>
      </w:r>
      <w:r w:rsidRPr="001639DD">
        <w:rPr>
          <w:sz w:val="20"/>
          <w:szCs w:val="20"/>
          <w:lang w:val="en-US"/>
        </w:rPr>
        <w:t>447–460.</w:t>
      </w:r>
    </w:p>
    <w:p w14:paraId="19D61FAC" w14:textId="77777777" w:rsidR="0021652D" w:rsidRPr="00B415E3" w:rsidRDefault="001B2301">
      <w:pPr>
        <w:rPr>
          <w:sz w:val="20"/>
          <w:szCs w:val="20"/>
        </w:rPr>
      </w:pPr>
      <w:r w:rsidRPr="00B415E3">
        <w:rPr>
          <w:sz w:val="20"/>
          <w:szCs w:val="20"/>
        </w:rPr>
        <w:t xml:space="preserve">King, W. R., &amp; He, J. (2006). A meta-analysis of the technology acceptance model. </w:t>
      </w:r>
      <w:r w:rsidRPr="00B415E3">
        <w:rPr>
          <w:i/>
          <w:sz w:val="20"/>
          <w:szCs w:val="20"/>
        </w:rPr>
        <w:t>Information &amp; Management</w:t>
      </w:r>
      <w:r w:rsidRPr="00B415E3">
        <w:rPr>
          <w:sz w:val="20"/>
          <w:szCs w:val="20"/>
        </w:rPr>
        <w:t xml:space="preserve">, </w:t>
      </w:r>
      <w:r w:rsidRPr="00B415E3">
        <w:rPr>
          <w:i/>
          <w:sz w:val="20"/>
          <w:szCs w:val="20"/>
        </w:rPr>
        <w:t>43</w:t>
      </w:r>
      <w:r w:rsidRPr="00B415E3">
        <w:rPr>
          <w:sz w:val="20"/>
          <w:szCs w:val="20"/>
        </w:rPr>
        <w:t>(6), 740-755.</w:t>
      </w:r>
    </w:p>
    <w:p w14:paraId="4689D576" w14:textId="77777777" w:rsidR="0021652D" w:rsidRPr="00B415E3" w:rsidRDefault="001B2301">
      <w:pPr>
        <w:rPr>
          <w:sz w:val="20"/>
          <w:szCs w:val="20"/>
        </w:rPr>
      </w:pPr>
      <w:r w:rsidRPr="00B415E3">
        <w:rPr>
          <w:sz w:val="20"/>
          <w:szCs w:val="20"/>
        </w:rPr>
        <w:t xml:space="preserve">King (2018a). Annual revenue of King.com from 2010 to 2017,  </w:t>
      </w:r>
      <w:hyperlink r:id="rId13">
        <w:r w:rsidRPr="00B415E3">
          <w:rPr>
            <w:sz w:val="20"/>
            <w:szCs w:val="20"/>
            <w:u w:val="single"/>
          </w:rPr>
          <w:t>https://www.statista.com/statistics/288974/king-annual-revenue/</w:t>
        </w:r>
      </w:hyperlink>
      <w:r w:rsidRPr="00B415E3">
        <w:rPr>
          <w:sz w:val="20"/>
          <w:szCs w:val="20"/>
        </w:rPr>
        <w:t xml:space="preserve"> </w:t>
      </w:r>
    </w:p>
    <w:p w14:paraId="30CEF0C0" w14:textId="77777777" w:rsidR="0021652D" w:rsidRPr="00B415E3" w:rsidRDefault="001B2301">
      <w:pPr>
        <w:rPr>
          <w:sz w:val="20"/>
          <w:szCs w:val="20"/>
        </w:rPr>
      </w:pPr>
      <w:r w:rsidRPr="00B415E3">
        <w:rPr>
          <w:sz w:val="20"/>
          <w:szCs w:val="20"/>
        </w:rPr>
        <w:t xml:space="preserve">King (2018b). Number of monthly active users (MAU) of King worldwide from 1st quarter 2012 to 1st quarter 2018 (in millions), </w:t>
      </w:r>
      <w:hyperlink r:id="rId14">
        <w:r w:rsidRPr="00B415E3">
          <w:rPr>
            <w:sz w:val="20"/>
            <w:szCs w:val="20"/>
            <w:u w:val="single"/>
          </w:rPr>
          <w:t>https://www.statista.com/statistics/281595/king-digital-entertainment-quarterly-mau/</w:t>
        </w:r>
      </w:hyperlink>
      <w:r w:rsidRPr="00B415E3">
        <w:rPr>
          <w:sz w:val="20"/>
          <w:szCs w:val="20"/>
        </w:rPr>
        <w:t xml:space="preserve"> </w:t>
      </w:r>
    </w:p>
    <w:p w14:paraId="0DF6CA46" w14:textId="77777777" w:rsidR="0021652D" w:rsidRPr="00B415E3" w:rsidRDefault="001B2301">
      <w:pPr>
        <w:rPr>
          <w:sz w:val="20"/>
          <w:szCs w:val="20"/>
        </w:rPr>
      </w:pPr>
      <w:r w:rsidRPr="00B415E3">
        <w:rPr>
          <w:sz w:val="20"/>
          <w:szCs w:val="20"/>
        </w:rPr>
        <w:t>Kock, N. (2015) WarpPLS 5.0 user manual. ScriptWarp System.</w:t>
      </w:r>
    </w:p>
    <w:p w14:paraId="4FBA8EB5" w14:textId="4778BD5D" w:rsidR="0021652D" w:rsidRPr="00B415E3" w:rsidRDefault="001B2301">
      <w:pPr>
        <w:rPr>
          <w:sz w:val="20"/>
          <w:szCs w:val="20"/>
        </w:rPr>
      </w:pPr>
      <w:r w:rsidRPr="00B415E3">
        <w:rPr>
          <w:sz w:val="20"/>
          <w:szCs w:val="20"/>
        </w:rPr>
        <w:t xml:space="preserve">Kock, N., &amp; Gaskins, L. (2016). Simpson’s paradox, moderation, and the emergence of quadratic relationships in path models: An information systems illustration. </w:t>
      </w:r>
      <w:r w:rsidRPr="00B415E3">
        <w:rPr>
          <w:i/>
          <w:sz w:val="20"/>
          <w:szCs w:val="20"/>
        </w:rPr>
        <w:t>International Journal of Applied Nonlinear Science</w:t>
      </w:r>
      <w:r w:rsidRPr="00B415E3">
        <w:rPr>
          <w:sz w:val="20"/>
          <w:szCs w:val="20"/>
        </w:rPr>
        <w:t xml:space="preserve">, </w:t>
      </w:r>
      <w:r w:rsidRPr="00B415E3">
        <w:rPr>
          <w:i/>
          <w:sz w:val="20"/>
          <w:szCs w:val="20"/>
        </w:rPr>
        <w:t>2</w:t>
      </w:r>
      <w:r w:rsidRPr="00B415E3">
        <w:rPr>
          <w:sz w:val="20"/>
          <w:szCs w:val="20"/>
        </w:rPr>
        <w:t>(3)</w:t>
      </w:r>
      <w:r w:rsidR="009751A9">
        <w:rPr>
          <w:sz w:val="20"/>
          <w:szCs w:val="20"/>
        </w:rPr>
        <w:t>:</w:t>
      </w:r>
      <w:r w:rsidRPr="00B415E3">
        <w:rPr>
          <w:sz w:val="20"/>
          <w:szCs w:val="20"/>
        </w:rPr>
        <w:t xml:space="preserve"> 200-234.</w:t>
      </w:r>
    </w:p>
    <w:p w14:paraId="4301A732" w14:textId="33449EB4" w:rsidR="0021652D" w:rsidRPr="00B415E3" w:rsidRDefault="001B2301">
      <w:pPr>
        <w:rPr>
          <w:sz w:val="20"/>
          <w:szCs w:val="20"/>
        </w:rPr>
      </w:pPr>
      <w:r w:rsidRPr="00B415E3">
        <w:rPr>
          <w:sz w:val="20"/>
          <w:szCs w:val="20"/>
        </w:rPr>
        <w:t xml:space="preserve">Kock, N., &amp; Hadaya, P. (2018). Minimum sample size estimation in PLS‐SEM: The inverse square root and gamma‐exponential methods. </w:t>
      </w:r>
      <w:r w:rsidRPr="00B415E3">
        <w:rPr>
          <w:i/>
          <w:sz w:val="20"/>
          <w:szCs w:val="20"/>
        </w:rPr>
        <w:t>Information Systems Journal</w:t>
      </w:r>
      <w:r w:rsidR="009751A9">
        <w:rPr>
          <w:sz w:val="20"/>
          <w:szCs w:val="20"/>
        </w:rPr>
        <w:t>:</w:t>
      </w:r>
      <w:r w:rsidRPr="00B415E3">
        <w:rPr>
          <w:sz w:val="20"/>
          <w:szCs w:val="20"/>
        </w:rPr>
        <w:t xml:space="preserve"> </w:t>
      </w:r>
      <w:r w:rsidRPr="00B415E3">
        <w:rPr>
          <w:i/>
          <w:sz w:val="20"/>
          <w:szCs w:val="20"/>
        </w:rPr>
        <w:t>28</w:t>
      </w:r>
      <w:r w:rsidRPr="00B415E3">
        <w:rPr>
          <w:sz w:val="20"/>
          <w:szCs w:val="20"/>
        </w:rPr>
        <w:t>(1), 227-261.</w:t>
      </w:r>
    </w:p>
    <w:p w14:paraId="6AC6790E" w14:textId="3B384FD2" w:rsidR="00424D5C" w:rsidRPr="00B415E3" w:rsidRDefault="00424D5C" w:rsidP="00424D5C">
      <w:pPr>
        <w:rPr>
          <w:sz w:val="20"/>
          <w:szCs w:val="20"/>
          <w:lang w:val="en-US"/>
        </w:rPr>
      </w:pPr>
      <w:r w:rsidRPr="00B415E3">
        <w:rPr>
          <w:sz w:val="20"/>
          <w:szCs w:val="20"/>
          <w:lang w:val="en-US"/>
        </w:rPr>
        <w:lastRenderedPageBreak/>
        <w:t xml:space="preserve">Kuem, J., Khansa, L., &amp; Kim, S. S. (2020). Prominence and Engagement: Different Mechanisms Regulating Continuance and Contribution in Online Communities. </w:t>
      </w:r>
      <w:r w:rsidRPr="00B415E3">
        <w:rPr>
          <w:i/>
          <w:iCs/>
          <w:sz w:val="20"/>
          <w:szCs w:val="20"/>
          <w:lang w:val="en-US"/>
        </w:rPr>
        <w:t>Journal of Management Information Systems</w:t>
      </w:r>
      <w:r w:rsidRPr="00B415E3">
        <w:rPr>
          <w:sz w:val="20"/>
          <w:szCs w:val="20"/>
          <w:lang w:val="en-US"/>
        </w:rPr>
        <w:t xml:space="preserve">, </w:t>
      </w:r>
      <w:r w:rsidRPr="00B415E3">
        <w:rPr>
          <w:i/>
          <w:iCs/>
          <w:sz w:val="20"/>
          <w:szCs w:val="20"/>
          <w:lang w:val="en-US"/>
        </w:rPr>
        <w:t>37</w:t>
      </w:r>
      <w:r w:rsidRPr="00B415E3">
        <w:rPr>
          <w:sz w:val="20"/>
          <w:szCs w:val="20"/>
          <w:lang w:val="en-US"/>
        </w:rPr>
        <w:t>(1)</w:t>
      </w:r>
      <w:r w:rsidR="00E0632D">
        <w:rPr>
          <w:sz w:val="20"/>
          <w:szCs w:val="20"/>
          <w:lang w:val="en-US"/>
        </w:rPr>
        <w:t>:</w:t>
      </w:r>
      <w:r w:rsidRPr="00B415E3">
        <w:rPr>
          <w:sz w:val="20"/>
          <w:szCs w:val="20"/>
          <w:lang w:val="en-US"/>
        </w:rPr>
        <w:t>162-190.</w:t>
      </w:r>
    </w:p>
    <w:p w14:paraId="31780327" w14:textId="389A6AA7" w:rsidR="0021652D" w:rsidRPr="00B415E3" w:rsidRDefault="001B2301">
      <w:pPr>
        <w:rPr>
          <w:sz w:val="20"/>
          <w:szCs w:val="20"/>
        </w:rPr>
      </w:pPr>
      <w:r w:rsidRPr="00B415E3">
        <w:rPr>
          <w:sz w:val="20"/>
          <w:szCs w:val="20"/>
        </w:rPr>
        <w:t xml:space="preserve">Lam, C. K., Van der Vegt, G. S., Walter, F., </w:t>
      </w:r>
      <w:r w:rsidR="002B4975">
        <w:rPr>
          <w:sz w:val="20"/>
          <w:szCs w:val="20"/>
        </w:rPr>
        <w:t>&amp;</w:t>
      </w:r>
      <w:r w:rsidRPr="00B415E3">
        <w:rPr>
          <w:sz w:val="20"/>
          <w:szCs w:val="20"/>
        </w:rPr>
        <w:t xml:space="preserve"> Huang, X. (2011) Harming high performers: A social comparison perspective on interpersonal harming. </w:t>
      </w:r>
      <w:r w:rsidRPr="00AC2F4E">
        <w:rPr>
          <w:i/>
          <w:iCs/>
          <w:sz w:val="20"/>
          <w:szCs w:val="20"/>
        </w:rPr>
        <w:t>Journal of Applied Psychology,</w:t>
      </w:r>
      <w:r w:rsidRPr="00B415E3">
        <w:rPr>
          <w:sz w:val="20"/>
          <w:szCs w:val="20"/>
        </w:rPr>
        <w:t xml:space="preserve"> 96:588-601.</w:t>
      </w:r>
    </w:p>
    <w:p w14:paraId="641DCEC6" w14:textId="77777777" w:rsidR="0021652D" w:rsidRPr="00B415E3" w:rsidRDefault="001B2301">
      <w:pPr>
        <w:rPr>
          <w:sz w:val="20"/>
          <w:szCs w:val="20"/>
        </w:rPr>
      </w:pPr>
      <w:r w:rsidRPr="00B415E3">
        <w:rPr>
          <w:sz w:val="20"/>
          <w:szCs w:val="20"/>
        </w:rPr>
        <w:t xml:space="preserve">Lee, M. K. O., Cheung, C. M. K., &amp; Chen, Z. (2005) Acceptance of internet-based learning medium: the role of extrinsic and intrinsic motivation. </w:t>
      </w:r>
      <w:r w:rsidRPr="00AC2F4E">
        <w:rPr>
          <w:i/>
          <w:iCs/>
          <w:sz w:val="20"/>
          <w:szCs w:val="20"/>
        </w:rPr>
        <w:t>Information &amp; Management</w:t>
      </w:r>
      <w:r w:rsidRPr="00B415E3">
        <w:rPr>
          <w:sz w:val="20"/>
          <w:szCs w:val="20"/>
        </w:rPr>
        <w:t>, 42(8):1095-1104.</w:t>
      </w:r>
    </w:p>
    <w:p w14:paraId="66927970" w14:textId="77777777" w:rsidR="0021652D" w:rsidRPr="00B415E3" w:rsidRDefault="001B2301">
      <w:pPr>
        <w:rPr>
          <w:sz w:val="20"/>
          <w:szCs w:val="20"/>
        </w:rPr>
      </w:pPr>
      <w:r w:rsidRPr="00B415E3">
        <w:rPr>
          <w:sz w:val="20"/>
          <w:szCs w:val="20"/>
        </w:rPr>
        <w:t xml:space="preserve">Lee, M. C., &amp; Tsai, T. R. (2010). What drives people to continue to play online games? An extension of technology model and theory of planned behaviour. </w:t>
      </w:r>
      <w:r w:rsidRPr="001C1283">
        <w:rPr>
          <w:i/>
          <w:iCs/>
          <w:sz w:val="20"/>
          <w:szCs w:val="20"/>
        </w:rPr>
        <w:t>International Journal of Human-Computer Interaction</w:t>
      </w:r>
      <w:r w:rsidRPr="00B415E3">
        <w:rPr>
          <w:sz w:val="20"/>
          <w:szCs w:val="20"/>
        </w:rPr>
        <w:t>, 26(6):601-620.</w:t>
      </w:r>
    </w:p>
    <w:p w14:paraId="1C49B307" w14:textId="1656892D" w:rsidR="0021652D" w:rsidRPr="00B415E3" w:rsidRDefault="001B2301">
      <w:pPr>
        <w:rPr>
          <w:sz w:val="20"/>
          <w:szCs w:val="20"/>
        </w:rPr>
      </w:pPr>
      <w:r w:rsidRPr="00B415E3">
        <w:rPr>
          <w:sz w:val="20"/>
          <w:szCs w:val="20"/>
        </w:rPr>
        <w:t xml:space="preserve">Lee, M. K., Shi, N., Cheung, C. M., Lim, K. H., &amp; Sia, C. L. (2011). Consumer's decision to shop online: The moderating role of positive informational social influence. </w:t>
      </w:r>
      <w:r w:rsidRPr="00B415E3">
        <w:rPr>
          <w:i/>
          <w:sz w:val="20"/>
          <w:szCs w:val="20"/>
        </w:rPr>
        <w:t>Information &amp; Management</w:t>
      </w:r>
      <w:r w:rsidRPr="00B415E3">
        <w:rPr>
          <w:sz w:val="20"/>
          <w:szCs w:val="20"/>
        </w:rPr>
        <w:t xml:space="preserve">, </w:t>
      </w:r>
      <w:r w:rsidRPr="00B415E3">
        <w:rPr>
          <w:i/>
          <w:sz w:val="20"/>
          <w:szCs w:val="20"/>
        </w:rPr>
        <w:t>48</w:t>
      </w:r>
      <w:r w:rsidRPr="00B415E3">
        <w:rPr>
          <w:sz w:val="20"/>
          <w:szCs w:val="20"/>
        </w:rPr>
        <w:t>(6),</w:t>
      </w:r>
      <w:r w:rsidR="001C1283">
        <w:rPr>
          <w:sz w:val="20"/>
          <w:szCs w:val="20"/>
        </w:rPr>
        <w:t>:</w:t>
      </w:r>
      <w:r w:rsidRPr="00B415E3">
        <w:rPr>
          <w:sz w:val="20"/>
          <w:szCs w:val="20"/>
        </w:rPr>
        <w:t>185-191.</w:t>
      </w:r>
    </w:p>
    <w:p w14:paraId="5265D840" w14:textId="77777777" w:rsidR="0021652D" w:rsidRPr="00B415E3" w:rsidRDefault="001B2301">
      <w:pPr>
        <w:rPr>
          <w:sz w:val="20"/>
          <w:szCs w:val="20"/>
        </w:rPr>
      </w:pPr>
      <w:r w:rsidRPr="00B415E3">
        <w:rPr>
          <w:sz w:val="20"/>
          <w:szCs w:val="20"/>
        </w:rPr>
        <w:t xml:space="preserve">Lee, S., &amp; Quan, C. (2013) Factors affecting Chinese Ubiquitous Game Service usage intention. </w:t>
      </w:r>
      <w:r w:rsidRPr="001C1283">
        <w:rPr>
          <w:i/>
          <w:iCs/>
          <w:sz w:val="20"/>
          <w:szCs w:val="20"/>
        </w:rPr>
        <w:t>International Journal of Mobile Communications</w:t>
      </w:r>
      <w:r w:rsidRPr="00B415E3">
        <w:rPr>
          <w:sz w:val="20"/>
          <w:szCs w:val="20"/>
        </w:rPr>
        <w:t>, 11(2):194-212.</w:t>
      </w:r>
    </w:p>
    <w:p w14:paraId="2825FEBF" w14:textId="77777777" w:rsidR="0021652D" w:rsidRPr="00B415E3" w:rsidRDefault="001B2301">
      <w:pPr>
        <w:rPr>
          <w:sz w:val="20"/>
          <w:szCs w:val="20"/>
        </w:rPr>
      </w:pPr>
      <w:r w:rsidRPr="00B415E3">
        <w:rPr>
          <w:sz w:val="20"/>
          <w:szCs w:val="20"/>
        </w:rPr>
        <w:t xml:space="preserve">Lewis, N., &amp; Weaver, A. J. (2016). Emotional responses to social comparisons in reality television programming. </w:t>
      </w:r>
      <w:r w:rsidRPr="004523AF">
        <w:rPr>
          <w:i/>
          <w:iCs/>
          <w:sz w:val="20"/>
          <w:szCs w:val="20"/>
        </w:rPr>
        <w:t>Journal of Media Psychology</w:t>
      </w:r>
      <w:r w:rsidRPr="00B415E3">
        <w:rPr>
          <w:sz w:val="20"/>
          <w:szCs w:val="20"/>
        </w:rPr>
        <w:t>, 28, 65-77.</w:t>
      </w:r>
    </w:p>
    <w:p w14:paraId="54AAA3A7" w14:textId="3655E77F" w:rsidR="0021652D" w:rsidRPr="004523AF" w:rsidRDefault="001B2301">
      <w:pPr>
        <w:rPr>
          <w:sz w:val="20"/>
          <w:szCs w:val="20"/>
        </w:rPr>
      </w:pPr>
      <w:r w:rsidRPr="004523AF">
        <w:rPr>
          <w:sz w:val="20"/>
          <w:szCs w:val="20"/>
        </w:rPr>
        <w:t xml:space="preserve">Lewis, N., &amp; Weaver, A. J. (2019). Social comparison-related emotional and enjoyment responses to entertainment television characters. </w:t>
      </w:r>
      <w:r w:rsidRPr="004523AF">
        <w:rPr>
          <w:i/>
          <w:iCs/>
          <w:sz w:val="20"/>
          <w:szCs w:val="20"/>
        </w:rPr>
        <w:t>Atlantic Journal of Communication</w:t>
      </w:r>
      <w:r w:rsidR="004523AF" w:rsidRPr="004523AF">
        <w:rPr>
          <w:rStyle w:val="serialtitle"/>
          <w:sz w:val="20"/>
          <w:szCs w:val="20"/>
        </w:rPr>
        <w:t>,</w:t>
      </w:r>
      <w:r w:rsidR="004523AF" w:rsidRPr="004523AF">
        <w:rPr>
          <w:sz w:val="20"/>
          <w:szCs w:val="20"/>
        </w:rPr>
        <w:t xml:space="preserve"> </w:t>
      </w:r>
      <w:r w:rsidR="004523AF" w:rsidRPr="004523AF">
        <w:rPr>
          <w:rStyle w:val="volumeissue"/>
          <w:sz w:val="20"/>
          <w:szCs w:val="20"/>
        </w:rPr>
        <w:t xml:space="preserve">27(5): </w:t>
      </w:r>
      <w:r w:rsidR="004523AF" w:rsidRPr="004523AF">
        <w:rPr>
          <w:rStyle w:val="pagerange"/>
          <w:sz w:val="20"/>
          <w:szCs w:val="20"/>
        </w:rPr>
        <w:t>339-353</w:t>
      </w:r>
      <w:r w:rsidRPr="004523AF">
        <w:rPr>
          <w:sz w:val="20"/>
          <w:szCs w:val="20"/>
        </w:rPr>
        <w:t>.</w:t>
      </w:r>
    </w:p>
    <w:p w14:paraId="31551556" w14:textId="77777777" w:rsidR="0021652D" w:rsidRPr="00B415E3" w:rsidRDefault="001B2301">
      <w:pPr>
        <w:rPr>
          <w:sz w:val="20"/>
          <w:szCs w:val="20"/>
        </w:rPr>
      </w:pPr>
      <w:r w:rsidRPr="00B415E3">
        <w:rPr>
          <w:sz w:val="20"/>
          <w:szCs w:val="20"/>
        </w:rPr>
        <w:t xml:space="preserve">Lewis, N. (2020). Experiences of upward social comparison in entertainment contexts: Emotions, state self-esteem, and enjoyment. </w:t>
      </w:r>
      <w:r w:rsidRPr="00B415E3">
        <w:rPr>
          <w:i/>
          <w:sz w:val="20"/>
          <w:szCs w:val="20"/>
        </w:rPr>
        <w:t>The Social Science Journal</w:t>
      </w:r>
      <w:r w:rsidRPr="00B415E3">
        <w:rPr>
          <w:sz w:val="20"/>
          <w:szCs w:val="20"/>
        </w:rPr>
        <w:t>, 1-16.</w:t>
      </w:r>
    </w:p>
    <w:p w14:paraId="28204BA7" w14:textId="1D6B74DE" w:rsidR="0021652D" w:rsidRPr="00B415E3" w:rsidRDefault="001B2301">
      <w:pPr>
        <w:rPr>
          <w:sz w:val="20"/>
          <w:szCs w:val="20"/>
        </w:rPr>
      </w:pPr>
      <w:r w:rsidRPr="00B415E3">
        <w:rPr>
          <w:sz w:val="20"/>
          <w:szCs w:val="20"/>
        </w:rPr>
        <w:t xml:space="preserve">Lin, C., </w:t>
      </w:r>
      <w:r w:rsidR="002B4975">
        <w:rPr>
          <w:sz w:val="20"/>
          <w:szCs w:val="20"/>
        </w:rPr>
        <w:t xml:space="preserve">&amp; </w:t>
      </w:r>
      <w:r w:rsidRPr="00B415E3">
        <w:rPr>
          <w:sz w:val="20"/>
          <w:szCs w:val="20"/>
        </w:rPr>
        <w:t xml:space="preserve">Bhattacherjee, A. (2010) Extending technology usage models to interactive hedonic technologies: a theoretical model and empirical test, </w:t>
      </w:r>
      <w:r w:rsidRPr="009E68EC">
        <w:rPr>
          <w:i/>
          <w:iCs/>
          <w:sz w:val="20"/>
          <w:szCs w:val="20"/>
        </w:rPr>
        <w:t>Information Systems Journal</w:t>
      </w:r>
      <w:r w:rsidRPr="00B415E3">
        <w:rPr>
          <w:sz w:val="20"/>
          <w:szCs w:val="20"/>
        </w:rPr>
        <w:t>, 20(2):163-181.</w:t>
      </w:r>
    </w:p>
    <w:p w14:paraId="7A02FD1D" w14:textId="48930358" w:rsidR="0021652D" w:rsidRPr="00B415E3" w:rsidRDefault="001B2301">
      <w:pPr>
        <w:rPr>
          <w:sz w:val="20"/>
          <w:szCs w:val="20"/>
        </w:rPr>
      </w:pPr>
      <w:r w:rsidRPr="00B415E3">
        <w:rPr>
          <w:sz w:val="20"/>
          <w:szCs w:val="20"/>
        </w:rPr>
        <w:t xml:space="preserve">Lin, X., Featherman, M., &amp; Sarker, S. (2017). Understanding factors affecting users’ social networking site continuance: A gender difference perspective. </w:t>
      </w:r>
      <w:r w:rsidRPr="00B415E3">
        <w:rPr>
          <w:i/>
          <w:sz w:val="20"/>
          <w:szCs w:val="20"/>
        </w:rPr>
        <w:t>Information &amp; Management</w:t>
      </w:r>
      <w:r w:rsidRPr="00B415E3">
        <w:rPr>
          <w:sz w:val="20"/>
          <w:szCs w:val="20"/>
        </w:rPr>
        <w:t xml:space="preserve">, </w:t>
      </w:r>
      <w:r w:rsidRPr="00B415E3">
        <w:rPr>
          <w:i/>
          <w:sz w:val="20"/>
          <w:szCs w:val="20"/>
        </w:rPr>
        <w:t>54</w:t>
      </w:r>
      <w:r w:rsidRPr="00B415E3">
        <w:rPr>
          <w:sz w:val="20"/>
          <w:szCs w:val="20"/>
        </w:rPr>
        <w:t>(3)</w:t>
      </w:r>
      <w:r w:rsidR="009E68EC">
        <w:rPr>
          <w:sz w:val="20"/>
          <w:szCs w:val="20"/>
        </w:rPr>
        <w:t>:</w:t>
      </w:r>
      <w:r w:rsidRPr="00B415E3">
        <w:rPr>
          <w:sz w:val="20"/>
          <w:szCs w:val="20"/>
        </w:rPr>
        <w:t xml:space="preserve"> 383-395.</w:t>
      </w:r>
    </w:p>
    <w:p w14:paraId="5FB52B42" w14:textId="7AAE96B8" w:rsidR="0021652D" w:rsidRPr="00B415E3" w:rsidRDefault="001B2301">
      <w:pPr>
        <w:rPr>
          <w:sz w:val="20"/>
          <w:szCs w:val="20"/>
        </w:rPr>
      </w:pPr>
      <w:r w:rsidRPr="00B415E3">
        <w:rPr>
          <w:sz w:val="20"/>
          <w:szCs w:val="20"/>
        </w:rPr>
        <w:t xml:space="preserve">Lindsley, D. H., Brass, D. J., &amp; Thomas, J. B. (1995). Efficacy-performing spirals: A multilevel perspective. </w:t>
      </w:r>
      <w:r w:rsidRPr="00B415E3">
        <w:rPr>
          <w:i/>
          <w:sz w:val="20"/>
          <w:szCs w:val="20"/>
        </w:rPr>
        <w:t>Academy of Management Review</w:t>
      </w:r>
      <w:r w:rsidRPr="00B415E3">
        <w:rPr>
          <w:sz w:val="20"/>
          <w:szCs w:val="20"/>
        </w:rPr>
        <w:t xml:space="preserve">, </w:t>
      </w:r>
      <w:r w:rsidRPr="00B415E3">
        <w:rPr>
          <w:i/>
          <w:sz w:val="20"/>
          <w:szCs w:val="20"/>
        </w:rPr>
        <w:t>20</w:t>
      </w:r>
      <w:r w:rsidRPr="00B415E3">
        <w:rPr>
          <w:sz w:val="20"/>
          <w:szCs w:val="20"/>
        </w:rPr>
        <w:t>(3)</w:t>
      </w:r>
      <w:r w:rsidR="009E68EC">
        <w:rPr>
          <w:sz w:val="20"/>
          <w:szCs w:val="20"/>
        </w:rPr>
        <w:t>:</w:t>
      </w:r>
      <w:r w:rsidRPr="00B415E3">
        <w:rPr>
          <w:sz w:val="20"/>
          <w:szCs w:val="20"/>
        </w:rPr>
        <w:t>645-678.</w:t>
      </w:r>
    </w:p>
    <w:p w14:paraId="44496834" w14:textId="7B0BEDFB" w:rsidR="0021652D" w:rsidRPr="006F4621" w:rsidRDefault="001B2301">
      <w:pPr>
        <w:rPr>
          <w:sz w:val="20"/>
          <w:szCs w:val="20"/>
        </w:rPr>
      </w:pPr>
      <w:r w:rsidRPr="006F4621">
        <w:rPr>
          <w:sz w:val="20"/>
          <w:szCs w:val="20"/>
        </w:rPr>
        <w:t xml:space="preserve">Liu, D., Santhanam, R., Webster, J. (2016) Towards meaningful engagement: A framework for design and research of gamified information systems. </w:t>
      </w:r>
      <w:r w:rsidRPr="006F4621">
        <w:rPr>
          <w:i/>
          <w:sz w:val="20"/>
          <w:szCs w:val="20"/>
        </w:rPr>
        <w:t>MIS Quarterly</w:t>
      </w:r>
      <w:r w:rsidR="006F4621" w:rsidRPr="006F4621">
        <w:rPr>
          <w:i/>
          <w:sz w:val="20"/>
          <w:szCs w:val="20"/>
        </w:rPr>
        <w:t xml:space="preserve">, </w:t>
      </w:r>
      <w:r w:rsidR="006F4621" w:rsidRPr="006F4621">
        <w:rPr>
          <w:sz w:val="20"/>
          <w:szCs w:val="20"/>
        </w:rPr>
        <w:t>41(4):1011-1034</w:t>
      </w:r>
      <w:r w:rsidRPr="006F4621">
        <w:rPr>
          <w:sz w:val="20"/>
          <w:szCs w:val="20"/>
        </w:rPr>
        <w:t>.</w:t>
      </w:r>
    </w:p>
    <w:p w14:paraId="4F2F7BF1" w14:textId="4AFAE23D" w:rsidR="0021652D" w:rsidRPr="00B415E3" w:rsidRDefault="001B2301">
      <w:pPr>
        <w:rPr>
          <w:sz w:val="20"/>
          <w:szCs w:val="20"/>
        </w:rPr>
      </w:pPr>
      <w:r w:rsidRPr="00B415E3">
        <w:rPr>
          <w:sz w:val="20"/>
          <w:szCs w:val="20"/>
        </w:rPr>
        <w:t xml:space="preserve">Lockwood, P., </w:t>
      </w:r>
      <w:r w:rsidR="002B4975">
        <w:rPr>
          <w:sz w:val="20"/>
          <w:szCs w:val="20"/>
        </w:rPr>
        <w:t xml:space="preserve">&amp; </w:t>
      </w:r>
      <w:r w:rsidRPr="00B415E3">
        <w:rPr>
          <w:sz w:val="20"/>
          <w:szCs w:val="20"/>
        </w:rPr>
        <w:t xml:space="preserve">Kunda, Z. (1997) Superstars and me: Predicting the impact of role models on the self. </w:t>
      </w:r>
      <w:r w:rsidRPr="002C3BC7">
        <w:rPr>
          <w:i/>
          <w:iCs/>
          <w:sz w:val="20"/>
          <w:szCs w:val="20"/>
        </w:rPr>
        <w:t>Journal of Personality and Social Psychology</w:t>
      </w:r>
      <w:r w:rsidRPr="00B415E3">
        <w:rPr>
          <w:sz w:val="20"/>
          <w:szCs w:val="20"/>
        </w:rPr>
        <w:t>, 73(1):91-103.</w:t>
      </w:r>
    </w:p>
    <w:p w14:paraId="5A1C3155" w14:textId="421DD4AD" w:rsidR="002D4F8D" w:rsidRPr="00B415E3" w:rsidRDefault="002D4F8D">
      <w:pPr>
        <w:rPr>
          <w:sz w:val="20"/>
          <w:szCs w:val="20"/>
        </w:rPr>
      </w:pPr>
      <w:r w:rsidRPr="00B415E3">
        <w:rPr>
          <w:sz w:val="20"/>
          <w:szCs w:val="20"/>
        </w:rPr>
        <w:t xml:space="preserve">Ma, X., Khansa, L., &amp; Kim, S. S. (2018). Active community participation and crowdworking turnover: A longitudinal model and empirical test of three mechanisms. </w:t>
      </w:r>
      <w:r w:rsidRPr="00B415E3">
        <w:rPr>
          <w:i/>
          <w:iCs/>
          <w:sz w:val="20"/>
          <w:szCs w:val="20"/>
        </w:rPr>
        <w:t>Journal of Management Information Systems</w:t>
      </w:r>
      <w:r w:rsidRPr="00B415E3">
        <w:rPr>
          <w:sz w:val="20"/>
          <w:szCs w:val="20"/>
        </w:rPr>
        <w:t xml:space="preserve">, </w:t>
      </w:r>
      <w:r w:rsidRPr="00B415E3">
        <w:rPr>
          <w:i/>
          <w:iCs/>
          <w:sz w:val="20"/>
          <w:szCs w:val="20"/>
        </w:rPr>
        <w:t>35</w:t>
      </w:r>
      <w:r w:rsidRPr="00B415E3">
        <w:rPr>
          <w:sz w:val="20"/>
          <w:szCs w:val="20"/>
        </w:rPr>
        <w:t>(4), 1154-1187.</w:t>
      </w:r>
    </w:p>
    <w:p w14:paraId="6BB2995A" w14:textId="77777777" w:rsidR="0021652D" w:rsidRPr="00B415E3" w:rsidRDefault="001B2301">
      <w:pPr>
        <w:rPr>
          <w:sz w:val="20"/>
          <w:szCs w:val="20"/>
        </w:rPr>
      </w:pPr>
      <w:r w:rsidRPr="00B415E3">
        <w:rPr>
          <w:sz w:val="20"/>
          <w:szCs w:val="20"/>
        </w:rPr>
        <w:t xml:space="preserve">Maduku, D. K. (2016). Fostering m-banking continuance intention: The role of trust in banks, self-efficacy, and mobile network quality. In </w:t>
      </w:r>
      <w:r w:rsidRPr="00B415E3">
        <w:rPr>
          <w:i/>
          <w:sz w:val="20"/>
          <w:szCs w:val="20"/>
        </w:rPr>
        <w:t>10th International Business Conference</w:t>
      </w:r>
      <w:r w:rsidRPr="00B415E3">
        <w:rPr>
          <w:sz w:val="20"/>
          <w:szCs w:val="20"/>
        </w:rPr>
        <w:t xml:space="preserve"> (pp. 186-196).</w:t>
      </w:r>
    </w:p>
    <w:p w14:paraId="3DB1F281" w14:textId="77777777" w:rsidR="0021652D" w:rsidRPr="00B415E3" w:rsidRDefault="001B2301">
      <w:pPr>
        <w:rPr>
          <w:sz w:val="20"/>
          <w:szCs w:val="20"/>
        </w:rPr>
      </w:pPr>
      <w:r w:rsidRPr="00B415E3">
        <w:rPr>
          <w:sz w:val="20"/>
          <w:szCs w:val="20"/>
        </w:rPr>
        <w:t xml:space="preserve">Maramis, C., Mylonopoulou, V., Stibe, A., Isomursu, M., &amp; Chouvarda, I. (2019, July). Developing a Smartphone Application to Support Smoking Behaviour Change through Social Comparison. In </w:t>
      </w:r>
      <w:r w:rsidRPr="00B415E3">
        <w:rPr>
          <w:i/>
          <w:sz w:val="20"/>
          <w:szCs w:val="20"/>
        </w:rPr>
        <w:t>2019 41st Annual International Conference of the IEEE Engineering in Medicine and Biology Society (EMBC)</w:t>
      </w:r>
      <w:r w:rsidRPr="00B415E3">
        <w:rPr>
          <w:sz w:val="20"/>
          <w:szCs w:val="20"/>
        </w:rPr>
        <w:t xml:space="preserve"> (pp. 6922-6925). IEEE.</w:t>
      </w:r>
    </w:p>
    <w:p w14:paraId="6EB10C69" w14:textId="26128BA3" w:rsidR="0021652D" w:rsidRPr="002C3BC7" w:rsidRDefault="001B2301">
      <w:pPr>
        <w:rPr>
          <w:sz w:val="20"/>
          <w:szCs w:val="20"/>
        </w:rPr>
      </w:pPr>
      <w:r w:rsidRPr="002C3BC7">
        <w:rPr>
          <w:sz w:val="20"/>
          <w:szCs w:val="20"/>
        </w:rPr>
        <w:t xml:space="preserve">Marcoulides, G. A., &amp; Saunders, C. (2006) Editor's comments: PLS: a silver bullet?. </w:t>
      </w:r>
      <w:r w:rsidRPr="002C3BC7">
        <w:rPr>
          <w:i/>
          <w:sz w:val="20"/>
          <w:szCs w:val="20"/>
        </w:rPr>
        <w:t>MIS quarterly</w:t>
      </w:r>
      <w:r w:rsidRPr="002C3BC7">
        <w:rPr>
          <w:sz w:val="20"/>
          <w:szCs w:val="20"/>
        </w:rPr>
        <w:t xml:space="preserve">, </w:t>
      </w:r>
      <w:r w:rsidR="002C3BC7" w:rsidRPr="002C3BC7">
        <w:rPr>
          <w:sz w:val="20"/>
          <w:szCs w:val="20"/>
        </w:rPr>
        <w:t>30(2):iii-ix</w:t>
      </w:r>
      <w:r w:rsidRPr="002C3BC7">
        <w:rPr>
          <w:sz w:val="20"/>
          <w:szCs w:val="20"/>
        </w:rPr>
        <w:t>.</w:t>
      </w:r>
    </w:p>
    <w:p w14:paraId="19361846" w14:textId="77777777" w:rsidR="0021652D" w:rsidRPr="00B415E3" w:rsidRDefault="001B2301">
      <w:pPr>
        <w:rPr>
          <w:sz w:val="20"/>
          <w:szCs w:val="20"/>
        </w:rPr>
      </w:pPr>
      <w:r w:rsidRPr="00B415E3">
        <w:rPr>
          <w:sz w:val="20"/>
          <w:szCs w:val="20"/>
        </w:rPr>
        <w:t xml:space="preserve">Markus, H., &amp; Nurius, P. (1986) Possible selves. </w:t>
      </w:r>
      <w:r w:rsidRPr="002C3BC7">
        <w:rPr>
          <w:i/>
          <w:iCs/>
          <w:sz w:val="20"/>
          <w:szCs w:val="20"/>
        </w:rPr>
        <w:t>American Psychologist</w:t>
      </w:r>
      <w:r w:rsidRPr="00B415E3">
        <w:rPr>
          <w:sz w:val="20"/>
          <w:szCs w:val="20"/>
        </w:rPr>
        <w:t>, 41:954 –969.</w:t>
      </w:r>
    </w:p>
    <w:p w14:paraId="4B4E0048" w14:textId="77777777" w:rsidR="0021652D" w:rsidRPr="00B415E3" w:rsidRDefault="001B2301">
      <w:pPr>
        <w:rPr>
          <w:sz w:val="20"/>
          <w:szCs w:val="20"/>
        </w:rPr>
      </w:pPr>
      <w:r w:rsidRPr="00B415E3">
        <w:rPr>
          <w:sz w:val="20"/>
          <w:szCs w:val="20"/>
        </w:rPr>
        <w:lastRenderedPageBreak/>
        <w:t xml:space="preserve">Mayo, M.J. (2009) Video games, A route to large scale stem education, </w:t>
      </w:r>
      <w:r w:rsidRPr="002C3BC7">
        <w:rPr>
          <w:i/>
          <w:iCs/>
          <w:sz w:val="20"/>
          <w:szCs w:val="20"/>
        </w:rPr>
        <w:t>Science</w:t>
      </w:r>
      <w:r w:rsidRPr="00B415E3">
        <w:rPr>
          <w:sz w:val="20"/>
          <w:szCs w:val="20"/>
        </w:rPr>
        <w:t xml:space="preserve">, 323(79): 1-5. </w:t>
      </w:r>
    </w:p>
    <w:p w14:paraId="0A6DB59B" w14:textId="43AB4036" w:rsidR="0021652D" w:rsidRPr="00B415E3" w:rsidRDefault="001B2301">
      <w:pPr>
        <w:rPr>
          <w:sz w:val="20"/>
          <w:szCs w:val="20"/>
        </w:rPr>
      </w:pPr>
      <w:r w:rsidRPr="00B415E3">
        <w:rPr>
          <w:sz w:val="20"/>
          <w:szCs w:val="20"/>
        </w:rPr>
        <w:t xml:space="preserve">McCormick, M. J., Tanguma, J., &amp; López-Forment, A. S. (2002). Extending self-efficacy theory to leadership: A review and empirical test. </w:t>
      </w:r>
      <w:r w:rsidRPr="00B415E3">
        <w:rPr>
          <w:i/>
          <w:sz w:val="20"/>
          <w:szCs w:val="20"/>
        </w:rPr>
        <w:t>Journal of Leadership Education</w:t>
      </w:r>
      <w:r w:rsidRPr="00B415E3">
        <w:rPr>
          <w:sz w:val="20"/>
          <w:szCs w:val="20"/>
        </w:rPr>
        <w:t xml:space="preserve">, </w:t>
      </w:r>
      <w:r w:rsidRPr="00B415E3">
        <w:rPr>
          <w:i/>
          <w:sz w:val="20"/>
          <w:szCs w:val="20"/>
        </w:rPr>
        <w:t>1</w:t>
      </w:r>
      <w:r w:rsidRPr="00B415E3">
        <w:rPr>
          <w:sz w:val="20"/>
          <w:szCs w:val="20"/>
        </w:rPr>
        <w:t>(2)</w:t>
      </w:r>
      <w:r w:rsidR="00740142">
        <w:rPr>
          <w:sz w:val="20"/>
          <w:szCs w:val="20"/>
        </w:rPr>
        <w:t>:</w:t>
      </w:r>
      <w:r w:rsidRPr="00B415E3">
        <w:rPr>
          <w:sz w:val="20"/>
          <w:szCs w:val="20"/>
        </w:rPr>
        <w:t>34-49.</w:t>
      </w:r>
    </w:p>
    <w:p w14:paraId="2DDCC0EB" w14:textId="63CAD0F9" w:rsidR="0021652D" w:rsidRPr="00B415E3" w:rsidRDefault="001B2301">
      <w:pPr>
        <w:rPr>
          <w:sz w:val="20"/>
          <w:szCs w:val="20"/>
        </w:rPr>
      </w:pPr>
      <w:r w:rsidRPr="00B415E3">
        <w:rPr>
          <w:sz w:val="20"/>
          <w:szCs w:val="20"/>
        </w:rPr>
        <w:t xml:space="preserve">McGee, J. E., Peterson, M., Mueller, S. L., &amp; Sequeira, J. M. (2009). Entrepreneurial self‐efficacy: refining the measure. </w:t>
      </w:r>
      <w:r w:rsidRPr="00B415E3">
        <w:rPr>
          <w:i/>
          <w:sz w:val="20"/>
          <w:szCs w:val="20"/>
        </w:rPr>
        <w:t>Entrepreneurship Theory and Practice</w:t>
      </w:r>
      <w:r w:rsidRPr="00B415E3">
        <w:rPr>
          <w:sz w:val="20"/>
          <w:szCs w:val="20"/>
        </w:rPr>
        <w:t xml:space="preserve">, </w:t>
      </w:r>
      <w:r w:rsidRPr="00B415E3">
        <w:rPr>
          <w:i/>
          <w:sz w:val="20"/>
          <w:szCs w:val="20"/>
        </w:rPr>
        <w:t>33</w:t>
      </w:r>
      <w:r w:rsidRPr="00B415E3">
        <w:rPr>
          <w:sz w:val="20"/>
          <w:szCs w:val="20"/>
        </w:rPr>
        <w:t>(4)</w:t>
      </w:r>
      <w:r w:rsidR="0027077D">
        <w:rPr>
          <w:sz w:val="20"/>
          <w:szCs w:val="20"/>
        </w:rPr>
        <w:t>:</w:t>
      </w:r>
      <w:r w:rsidRPr="00B415E3">
        <w:rPr>
          <w:sz w:val="20"/>
          <w:szCs w:val="20"/>
        </w:rPr>
        <w:t>965-988.</w:t>
      </w:r>
    </w:p>
    <w:p w14:paraId="08E1C766" w14:textId="77777777" w:rsidR="0021652D" w:rsidRPr="00B415E3" w:rsidRDefault="001B2301">
      <w:pPr>
        <w:rPr>
          <w:sz w:val="20"/>
          <w:szCs w:val="20"/>
        </w:rPr>
      </w:pPr>
      <w:r w:rsidRPr="00B415E3">
        <w:rPr>
          <w:sz w:val="20"/>
          <w:szCs w:val="20"/>
        </w:rPr>
        <w:t xml:space="preserve">Monteil, J.-M., &amp; Michinov, N. (2000) Effects of context and performance feedback on social comparison strategies among low-achievement students: Experimental studies. </w:t>
      </w:r>
      <w:r w:rsidRPr="003E58CE">
        <w:rPr>
          <w:i/>
          <w:iCs/>
          <w:sz w:val="20"/>
          <w:szCs w:val="20"/>
        </w:rPr>
        <w:t>Cahiers de Psychologie Cognitive</w:t>
      </w:r>
      <w:r w:rsidRPr="00B415E3">
        <w:rPr>
          <w:sz w:val="20"/>
          <w:szCs w:val="20"/>
        </w:rPr>
        <w:t>, 19(5-6):513–531.</w:t>
      </w:r>
    </w:p>
    <w:p w14:paraId="58AB473B" w14:textId="77777777" w:rsidR="0021652D" w:rsidRPr="00B415E3" w:rsidRDefault="001B2301">
      <w:pPr>
        <w:rPr>
          <w:sz w:val="20"/>
          <w:szCs w:val="20"/>
        </w:rPr>
      </w:pPr>
      <w:r w:rsidRPr="00B415E3">
        <w:rPr>
          <w:sz w:val="20"/>
          <w:szCs w:val="20"/>
        </w:rPr>
        <w:t xml:space="preserve">Moore, D. A. (2007) Not so above average after all: When people believe they are worse than average and its implications for theories of bias in social comparisons. </w:t>
      </w:r>
      <w:r w:rsidRPr="003E58CE">
        <w:rPr>
          <w:i/>
          <w:iCs/>
          <w:sz w:val="20"/>
          <w:szCs w:val="20"/>
        </w:rPr>
        <w:t>Organizational Behaviour and Human Decision Processes</w:t>
      </w:r>
      <w:r w:rsidRPr="00B415E3">
        <w:rPr>
          <w:sz w:val="20"/>
          <w:szCs w:val="20"/>
        </w:rPr>
        <w:t>, 102:42-58.</w:t>
      </w:r>
    </w:p>
    <w:p w14:paraId="3DD87E99" w14:textId="77777777" w:rsidR="0021652D" w:rsidRPr="00B415E3" w:rsidRDefault="001B2301">
      <w:pPr>
        <w:rPr>
          <w:sz w:val="20"/>
          <w:szCs w:val="20"/>
        </w:rPr>
      </w:pPr>
      <w:r w:rsidRPr="00B415E3">
        <w:rPr>
          <w:sz w:val="20"/>
          <w:szCs w:val="20"/>
        </w:rPr>
        <w:t xml:space="preserve">Muller, D., &amp; Fayant, M. P. (2010). On being exposed to superior others: Consequences of self-threatening upward social comparisons. </w:t>
      </w:r>
      <w:r w:rsidRPr="002F0DB4">
        <w:rPr>
          <w:i/>
          <w:iCs/>
          <w:sz w:val="20"/>
          <w:szCs w:val="20"/>
        </w:rPr>
        <w:t>Social &amp; Personality Psychology Compass</w:t>
      </w:r>
      <w:r w:rsidRPr="00B415E3">
        <w:rPr>
          <w:sz w:val="20"/>
          <w:szCs w:val="20"/>
        </w:rPr>
        <w:t>, 4:621-634.</w:t>
      </w:r>
    </w:p>
    <w:p w14:paraId="357D7718" w14:textId="77777777" w:rsidR="0021652D" w:rsidRPr="00B415E3" w:rsidRDefault="001B2301">
      <w:pPr>
        <w:rPr>
          <w:sz w:val="20"/>
          <w:szCs w:val="20"/>
        </w:rPr>
      </w:pPr>
      <w:r w:rsidRPr="00B415E3">
        <w:rPr>
          <w:sz w:val="20"/>
          <w:szCs w:val="20"/>
        </w:rPr>
        <w:t xml:space="preserve">Mussweiler T. (2003). Comparison processes in social judgment: mechanisms and consequences. </w:t>
      </w:r>
      <w:r w:rsidRPr="00F46380">
        <w:rPr>
          <w:i/>
          <w:iCs/>
          <w:sz w:val="20"/>
          <w:szCs w:val="20"/>
        </w:rPr>
        <w:t>Psychological Review</w:t>
      </w:r>
      <w:r w:rsidRPr="00B415E3">
        <w:rPr>
          <w:sz w:val="20"/>
          <w:szCs w:val="20"/>
        </w:rPr>
        <w:t>, 110(3):472–489.</w:t>
      </w:r>
    </w:p>
    <w:p w14:paraId="294EA072" w14:textId="6EB86575" w:rsidR="0021652D" w:rsidRPr="00B415E3" w:rsidRDefault="001B2301">
      <w:pPr>
        <w:rPr>
          <w:sz w:val="20"/>
          <w:szCs w:val="20"/>
        </w:rPr>
      </w:pPr>
      <w:r w:rsidRPr="00B415E3">
        <w:rPr>
          <w:sz w:val="20"/>
          <w:szCs w:val="20"/>
        </w:rPr>
        <w:t xml:space="preserve">Mussweiler, T., Rüter, K., </w:t>
      </w:r>
      <w:r w:rsidR="002B4975">
        <w:rPr>
          <w:sz w:val="20"/>
          <w:szCs w:val="20"/>
        </w:rPr>
        <w:t xml:space="preserve">&amp; </w:t>
      </w:r>
      <w:r w:rsidRPr="00B415E3">
        <w:rPr>
          <w:sz w:val="20"/>
          <w:szCs w:val="20"/>
        </w:rPr>
        <w:t xml:space="preserve">Epstude, K. (2004) The man who wasn’t there: Subliminal social comparison standards influence self-evaluation. </w:t>
      </w:r>
      <w:r w:rsidRPr="00F46380">
        <w:rPr>
          <w:i/>
          <w:iCs/>
          <w:sz w:val="20"/>
          <w:szCs w:val="20"/>
        </w:rPr>
        <w:t>Journal of Experimental Social Psychology</w:t>
      </w:r>
      <w:r w:rsidRPr="00B415E3">
        <w:rPr>
          <w:sz w:val="20"/>
          <w:szCs w:val="20"/>
        </w:rPr>
        <w:t>, 40:689-696.</w:t>
      </w:r>
    </w:p>
    <w:p w14:paraId="486E0F41" w14:textId="69436C73" w:rsidR="0021652D" w:rsidRPr="00B415E3" w:rsidRDefault="001B2301">
      <w:pPr>
        <w:rPr>
          <w:sz w:val="20"/>
          <w:szCs w:val="20"/>
        </w:rPr>
      </w:pPr>
      <w:r w:rsidRPr="00B415E3">
        <w:rPr>
          <w:sz w:val="20"/>
          <w:szCs w:val="20"/>
        </w:rPr>
        <w:t xml:space="preserve">Mussweiler, T., </w:t>
      </w:r>
      <w:r w:rsidR="002B4975">
        <w:rPr>
          <w:sz w:val="20"/>
          <w:szCs w:val="20"/>
        </w:rPr>
        <w:t xml:space="preserve">&amp; </w:t>
      </w:r>
      <w:r w:rsidRPr="00B415E3">
        <w:rPr>
          <w:sz w:val="20"/>
          <w:szCs w:val="20"/>
        </w:rPr>
        <w:t xml:space="preserve">Epstude, K. (2009) Relatively fast! Efficiency advantages of comparative information processing. </w:t>
      </w:r>
      <w:r w:rsidRPr="00F46380">
        <w:rPr>
          <w:i/>
          <w:iCs/>
          <w:sz w:val="20"/>
          <w:szCs w:val="20"/>
        </w:rPr>
        <w:t>Journal of Experimental Psychology: General</w:t>
      </w:r>
      <w:r w:rsidRPr="00B415E3">
        <w:rPr>
          <w:sz w:val="20"/>
          <w:szCs w:val="20"/>
        </w:rPr>
        <w:t>, 138:1-21.</w:t>
      </w:r>
    </w:p>
    <w:p w14:paraId="414C0249" w14:textId="6D7FC4B2" w:rsidR="0021652D" w:rsidRPr="00B415E3" w:rsidRDefault="001B2301">
      <w:pPr>
        <w:rPr>
          <w:sz w:val="20"/>
          <w:szCs w:val="20"/>
        </w:rPr>
      </w:pPr>
      <w:r w:rsidRPr="00B415E3">
        <w:rPr>
          <w:sz w:val="20"/>
          <w:szCs w:val="20"/>
        </w:rPr>
        <w:t xml:space="preserve">Mussweiler, T., </w:t>
      </w:r>
      <w:r w:rsidR="002B4975">
        <w:rPr>
          <w:sz w:val="20"/>
          <w:szCs w:val="20"/>
        </w:rPr>
        <w:t xml:space="preserve">&amp; </w:t>
      </w:r>
      <w:r w:rsidRPr="00B415E3">
        <w:rPr>
          <w:sz w:val="20"/>
          <w:szCs w:val="20"/>
        </w:rPr>
        <w:t>Strack, F. (2000). Comparing is believing: a selective accessibility Model of judgement anchoring. European Review of Social Psychology, 10:135-167.</w:t>
      </w:r>
    </w:p>
    <w:p w14:paraId="1C0083E9" w14:textId="77777777" w:rsidR="0021652D" w:rsidRPr="00B415E3" w:rsidRDefault="001B2301">
      <w:pPr>
        <w:rPr>
          <w:sz w:val="20"/>
          <w:szCs w:val="20"/>
        </w:rPr>
      </w:pPr>
      <w:r w:rsidRPr="00B415E3">
        <w:rPr>
          <w:sz w:val="20"/>
          <w:szCs w:val="20"/>
        </w:rPr>
        <w:t xml:space="preserve">Myers, T. A., &amp; Crowther, J. H. (2009). Social comparison as a predictor of body dissatisfaction: A meta-analytic review. </w:t>
      </w:r>
      <w:r w:rsidRPr="00F46380">
        <w:rPr>
          <w:i/>
          <w:iCs/>
          <w:sz w:val="20"/>
          <w:szCs w:val="20"/>
        </w:rPr>
        <w:t>Journal of Abnormal Psychology</w:t>
      </w:r>
      <w:r w:rsidRPr="00B415E3">
        <w:rPr>
          <w:sz w:val="20"/>
          <w:szCs w:val="20"/>
        </w:rPr>
        <w:t>, 118(4), 683.</w:t>
      </w:r>
    </w:p>
    <w:p w14:paraId="5AD14FDE" w14:textId="77777777" w:rsidR="0021652D" w:rsidRPr="00B415E3" w:rsidRDefault="001B2301">
      <w:pPr>
        <w:rPr>
          <w:sz w:val="20"/>
          <w:szCs w:val="20"/>
        </w:rPr>
      </w:pPr>
      <w:r w:rsidRPr="00B415E3">
        <w:rPr>
          <w:sz w:val="20"/>
          <w:szCs w:val="20"/>
        </w:rPr>
        <w:t>Newzoo (2018) Newzoo: Games market expected to hit $180.1 billion in revenues in 2021 https://venturebeat.com/2018/04/30/newzoo-global-games-expected-to-hit-180-1-billion-in-revenues-202/</w:t>
      </w:r>
    </w:p>
    <w:p w14:paraId="2AF1E9C4" w14:textId="28F70376" w:rsidR="0021652D" w:rsidRPr="00B415E3" w:rsidRDefault="001B2301">
      <w:pPr>
        <w:rPr>
          <w:sz w:val="20"/>
          <w:szCs w:val="20"/>
        </w:rPr>
      </w:pPr>
      <w:r w:rsidRPr="00B415E3">
        <w:rPr>
          <w:sz w:val="20"/>
          <w:szCs w:val="20"/>
          <w:lang w:val="es-ES"/>
        </w:rPr>
        <w:t xml:space="preserve">Pando-Garcia, J., Periañez-Cañadillas, I., &amp; Charterina, J. (2016). </w:t>
      </w:r>
      <w:r w:rsidRPr="00B415E3">
        <w:rPr>
          <w:sz w:val="20"/>
          <w:szCs w:val="20"/>
        </w:rPr>
        <w:t xml:space="preserve">Business simulation games with and without supervision: An analysis based on the TAM model. </w:t>
      </w:r>
      <w:r w:rsidRPr="00B415E3">
        <w:rPr>
          <w:i/>
          <w:sz w:val="20"/>
          <w:szCs w:val="20"/>
        </w:rPr>
        <w:t>Journal of Business Research</w:t>
      </w:r>
      <w:r w:rsidRPr="00B415E3">
        <w:rPr>
          <w:sz w:val="20"/>
          <w:szCs w:val="20"/>
        </w:rPr>
        <w:t xml:space="preserve">, </w:t>
      </w:r>
      <w:r w:rsidRPr="00B415E3">
        <w:rPr>
          <w:i/>
          <w:sz w:val="20"/>
          <w:szCs w:val="20"/>
        </w:rPr>
        <w:t>69</w:t>
      </w:r>
      <w:r w:rsidRPr="00B415E3">
        <w:rPr>
          <w:sz w:val="20"/>
          <w:szCs w:val="20"/>
        </w:rPr>
        <w:t>(5)</w:t>
      </w:r>
      <w:r w:rsidR="00F46380">
        <w:rPr>
          <w:sz w:val="20"/>
          <w:szCs w:val="20"/>
        </w:rPr>
        <w:t>:</w:t>
      </w:r>
      <w:r w:rsidRPr="00B415E3">
        <w:rPr>
          <w:sz w:val="20"/>
          <w:szCs w:val="20"/>
        </w:rPr>
        <w:t>1731-1736.</w:t>
      </w:r>
    </w:p>
    <w:p w14:paraId="1DA1D02F" w14:textId="399468C2" w:rsidR="0021652D" w:rsidRPr="00B415E3" w:rsidRDefault="001B2301">
      <w:pPr>
        <w:rPr>
          <w:sz w:val="20"/>
          <w:szCs w:val="20"/>
        </w:rPr>
      </w:pPr>
      <w:r w:rsidRPr="00B415E3">
        <w:rPr>
          <w:sz w:val="20"/>
          <w:szCs w:val="20"/>
        </w:rPr>
        <w:t xml:space="preserve">Pavlas, D., Heyne, K., </w:t>
      </w:r>
      <w:r w:rsidR="00E309D6">
        <w:rPr>
          <w:sz w:val="20"/>
          <w:szCs w:val="20"/>
        </w:rPr>
        <w:t xml:space="preserve">&amp; </w:t>
      </w:r>
      <w:r w:rsidRPr="00B415E3">
        <w:rPr>
          <w:sz w:val="20"/>
          <w:szCs w:val="20"/>
        </w:rPr>
        <w:t xml:space="preserve">Bedwell, W., Lazzara, E., &amp; Salas, E. (2010) Game based learning: The impact of flow state and videogame self-efficacy. </w:t>
      </w:r>
      <w:r w:rsidRPr="00F95AD4">
        <w:rPr>
          <w:i/>
          <w:iCs/>
          <w:sz w:val="20"/>
          <w:szCs w:val="20"/>
        </w:rPr>
        <w:t>In Proceedings of the Human Factors and Ergonomics Society Annual Meeting</w:t>
      </w:r>
      <w:r w:rsidRPr="00B415E3">
        <w:rPr>
          <w:sz w:val="20"/>
          <w:szCs w:val="20"/>
        </w:rPr>
        <w:t>, 54(28):2398-2402.</w:t>
      </w:r>
    </w:p>
    <w:p w14:paraId="63BC5597" w14:textId="77777777" w:rsidR="0021652D" w:rsidRPr="00B415E3" w:rsidRDefault="001B2301">
      <w:pPr>
        <w:rPr>
          <w:sz w:val="20"/>
          <w:szCs w:val="20"/>
        </w:rPr>
      </w:pPr>
      <w:r w:rsidRPr="00B415E3">
        <w:rPr>
          <w:sz w:val="20"/>
          <w:szCs w:val="20"/>
        </w:rPr>
        <w:t xml:space="preserve">Petkov, P., Köbler, F., Foth, M., Medland, R., &amp; Krcmar, H. (2011). Engaging energy saving through motivation-specific social comparison. In </w:t>
      </w:r>
      <w:r w:rsidRPr="00B415E3">
        <w:rPr>
          <w:i/>
          <w:sz w:val="20"/>
          <w:szCs w:val="20"/>
        </w:rPr>
        <w:t>CHI'11 Extended Abstracts on Human Factors in Computing Systems</w:t>
      </w:r>
      <w:r w:rsidRPr="00B415E3">
        <w:rPr>
          <w:sz w:val="20"/>
          <w:szCs w:val="20"/>
        </w:rPr>
        <w:t xml:space="preserve"> (pp. 1945-1950).</w:t>
      </w:r>
    </w:p>
    <w:p w14:paraId="4B2C7CBD" w14:textId="6AE834E2" w:rsidR="0021652D" w:rsidRPr="00B415E3" w:rsidRDefault="001B2301">
      <w:pPr>
        <w:rPr>
          <w:sz w:val="20"/>
          <w:szCs w:val="20"/>
        </w:rPr>
      </w:pPr>
      <w:r w:rsidRPr="00B415E3">
        <w:rPr>
          <w:sz w:val="20"/>
          <w:szCs w:val="20"/>
        </w:rPr>
        <w:t xml:space="preserve">Petter, S., &amp; McLean, E. R. (2009). A meta-analytic assessment of the DeLone and McLean IS success model: An examination of IS success at the individual level. </w:t>
      </w:r>
      <w:r w:rsidRPr="00B415E3">
        <w:rPr>
          <w:i/>
          <w:sz w:val="20"/>
          <w:szCs w:val="20"/>
        </w:rPr>
        <w:t>Information &amp; Management</w:t>
      </w:r>
      <w:r w:rsidRPr="00B415E3">
        <w:rPr>
          <w:sz w:val="20"/>
          <w:szCs w:val="20"/>
        </w:rPr>
        <w:t xml:space="preserve">, </w:t>
      </w:r>
      <w:r w:rsidRPr="00B415E3">
        <w:rPr>
          <w:i/>
          <w:sz w:val="20"/>
          <w:szCs w:val="20"/>
        </w:rPr>
        <w:t>46</w:t>
      </w:r>
      <w:r w:rsidRPr="00B415E3">
        <w:rPr>
          <w:sz w:val="20"/>
          <w:szCs w:val="20"/>
        </w:rPr>
        <w:t>(3)</w:t>
      </w:r>
      <w:r w:rsidR="006009B2">
        <w:rPr>
          <w:sz w:val="20"/>
          <w:szCs w:val="20"/>
        </w:rPr>
        <w:t>:</w:t>
      </w:r>
      <w:r w:rsidRPr="00B415E3">
        <w:rPr>
          <w:sz w:val="20"/>
          <w:szCs w:val="20"/>
        </w:rPr>
        <w:t>159-166.</w:t>
      </w:r>
    </w:p>
    <w:p w14:paraId="76755F69" w14:textId="342533C5" w:rsidR="0021652D" w:rsidRPr="00B415E3" w:rsidRDefault="001B2301">
      <w:pPr>
        <w:rPr>
          <w:sz w:val="20"/>
          <w:szCs w:val="20"/>
        </w:rPr>
      </w:pPr>
      <w:r w:rsidRPr="00B415E3">
        <w:rPr>
          <w:sz w:val="20"/>
          <w:szCs w:val="20"/>
        </w:rPr>
        <w:t xml:space="preserve">Qiu, L., &amp; Kumar, S. (2017). Understanding voluntary knowledge provision and content contribution through a social-media-based prediction market: A field experiment. </w:t>
      </w:r>
      <w:r w:rsidRPr="00B415E3">
        <w:rPr>
          <w:i/>
          <w:sz w:val="20"/>
          <w:szCs w:val="20"/>
        </w:rPr>
        <w:t>Information Systems Research</w:t>
      </w:r>
      <w:r w:rsidRPr="00B415E3">
        <w:rPr>
          <w:sz w:val="20"/>
          <w:szCs w:val="20"/>
        </w:rPr>
        <w:t xml:space="preserve">, </w:t>
      </w:r>
      <w:r w:rsidRPr="00B415E3">
        <w:rPr>
          <w:i/>
          <w:sz w:val="20"/>
          <w:szCs w:val="20"/>
        </w:rPr>
        <w:t>28</w:t>
      </w:r>
      <w:r w:rsidRPr="00B415E3">
        <w:rPr>
          <w:sz w:val="20"/>
          <w:szCs w:val="20"/>
        </w:rPr>
        <w:t>(3)</w:t>
      </w:r>
      <w:r w:rsidR="00081D3C">
        <w:rPr>
          <w:sz w:val="20"/>
          <w:szCs w:val="20"/>
        </w:rPr>
        <w:t>:</w:t>
      </w:r>
      <w:r w:rsidRPr="00B415E3">
        <w:rPr>
          <w:sz w:val="20"/>
          <w:szCs w:val="20"/>
        </w:rPr>
        <w:t>529-546.</w:t>
      </w:r>
    </w:p>
    <w:p w14:paraId="0FDA3F80" w14:textId="77777777" w:rsidR="0021652D" w:rsidRPr="00B415E3" w:rsidRDefault="001B2301">
      <w:pPr>
        <w:rPr>
          <w:sz w:val="20"/>
          <w:szCs w:val="20"/>
        </w:rPr>
      </w:pPr>
      <w:r w:rsidRPr="00B415E3">
        <w:rPr>
          <w:sz w:val="20"/>
          <w:szCs w:val="20"/>
        </w:rPr>
        <w:t xml:space="preserve">Rahimi, S., Hall, N. C., Wang, H., &amp; Maymon, R. (2017). Upward, Downward, and Horizontal Social Comparisons: Effects on Adjustment, Emotions and Persistence in Teachers. </w:t>
      </w:r>
      <w:r w:rsidRPr="00B415E3">
        <w:rPr>
          <w:i/>
          <w:sz w:val="20"/>
          <w:szCs w:val="20"/>
        </w:rPr>
        <w:t>Interdisciplinary Education and Psychology</w:t>
      </w:r>
      <w:r w:rsidRPr="00B415E3">
        <w:rPr>
          <w:sz w:val="20"/>
          <w:szCs w:val="20"/>
        </w:rPr>
        <w:t xml:space="preserve">, </w:t>
      </w:r>
      <w:r w:rsidRPr="00B415E3">
        <w:rPr>
          <w:i/>
          <w:sz w:val="20"/>
          <w:szCs w:val="20"/>
        </w:rPr>
        <w:t>1</w:t>
      </w:r>
      <w:r w:rsidRPr="00B415E3">
        <w:rPr>
          <w:sz w:val="20"/>
          <w:szCs w:val="20"/>
        </w:rPr>
        <w:t>(1), 10.</w:t>
      </w:r>
    </w:p>
    <w:p w14:paraId="42C2CAD2" w14:textId="07D68D89" w:rsidR="0021652D" w:rsidRPr="00B415E3" w:rsidRDefault="001B2301">
      <w:pPr>
        <w:rPr>
          <w:sz w:val="20"/>
          <w:szCs w:val="20"/>
        </w:rPr>
      </w:pPr>
      <w:r w:rsidRPr="00B415E3">
        <w:rPr>
          <w:sz w:val="20"/>
          <w:szCs w:val="20"/>
        </w:rPr>
        <w:lastRenderedPageBreak/>
        <w:t xml:space="preserve">Raghunathan, R., &amp; Corfman, K. (2006). Is happiness shared doubled and sadness shared halved? Social influence on enjoyment of hedonic experiences. </w:t>
      </w:r>
      <w:r w:rsidRPr="00B415E3">
        <w:rPr>
          <w:i/>
          <w:sz w:val="20"/>
          <w:szCs w:val="20"/>
        </w:rPr>
        <w:t>Journal of Marketing Research</w:t>
      </w:r>
      <w:r w:rsidRPr="00B415E3">
        <w:rPr>
          <w:sz w:val="20"/>
          <w:szCs w:val="20"/>
        </w:rPr>
        <w:t xml:space="preserve">, </w:t>
      </w:r>
      <w:r w:rsidRPr="00B415E3">
        <w:rPr>
          <w:i/>
          <w:sz w:val="20"/>
          <w:szCs w:val="20"/>
        </w:rPr>
        <w:t>43</w:t>
      </w:r>
      <w:r w:rsidRPr="00B415E3">
        <w:rPr>
          <w:sz w:val="20"/>
          <w:szCs w:val="20"/>
        </w:rPr>
        <w:t>(3)</w:t>
      </w:r>
      <w:r w:rsidR="00AB517F">
        <w:rPr>
          <w:sz w:val="20"/>
          <w:szCs w:val="20"/>
        </w:rPr>
        <w:t>:</w:t>
      </w:r>
      <w:r w:rsidRPr="00B415E3">
        <w:rPr>
          <w:sz w:val="20"/>
          <w:szCs w:val="20"/>
        </w:rPr>
        <w:t>386-394.</w:t>
      </w:r>
    </w:p>
    <w:p w14:paraId="45EBB268" w14:textId="12754469" w:rsidR="0021652D" w:rsidRPr="00B415E3" w:rsidRDefault="001B2301">
      <w:pPr>
        <w:rPr>
          <w:sz w:val="20"/>
          <w:szCs w:val="20"/>
        </w:rPr>
      </w:pPr>
      <w:r w:rsidRPr="00B415E3">
        <w:rPr>
          <w:sz w:val="20"/>
          <w:szCs w:val="20"/>
        </w:rPr>
        <w:t xml:space="preserve">Ringle, C. M., Sarstedt, M., </w:t>
      </w:r>
      <w:r w:rsidR="00E309D6">
        <w:rPr>
          <w:sz w:val="20"/>
          <w:szCs w:val="20"/>
        </w:rPr>
        <w:t xml:space="preserve">&amp; </w:t>
      </w:r>
      <w:r w:rsidRPr="00B415E3">
        <w:rPr>
          <w:sz w:val="20"/>
          <w:szCs w:val="20"/>
        </w:rPr>
        <w:t xml:space="preserve">Straub, D. W. (2012) Editor's Comments: A Critical Look at the Use of PLS-SEM in MIS Quarterly. </w:t>
      </w:r>
      <w:r w:rsidRPr="00B415E3">
        <w:rPr>
          <w:i/>
          <w:sz w:val="20"/>
          <w:szCs w:val="20"/>
        </w:rPr>
        <w:t>MIS Quarterly</w:t>
      </w:r>
      <w:r w:rsidRPr="00B415E3">
        <w:rPr>
          <w:sz w:val="20"/>
          <w:szCs w:val="20"/>
        </w:rPr>
        <w:t>, 36(1):3-4.</w:t>
      </w:r>
    </w:p>
    <w:p w14:paraId="7E280AA2" w14:textId="7914299F" w:rsidR="0021652D" w:rsidRPr="00B415E3" w:rsidRDefault="001B2301">
      <w:pPr>
        <w:rPr>
          <w:sz w:val="20"/>
          <w:szCs w:val="20"/>
        </w:rPr>
      </w:pPr>
      <w:r w:rsidRPr="00B415E3">
        <w:rPr>
          <w:sz w:val="20"/>
          <w:szCs w:val="20"/>
        </w:rPr>
        <w:t xml:space="preserve">Ringle C. M., Wende, S., </w:t>
      </w:r>
      <w:r w:rsidR="00E309D6">
        <w:rPr>
          <w:sz w:val="20"/>
          <w:szCs w:val="20"/>
        </w:rPr>
        <w:t xml:space="preserve">&amp; </w:t>
      </w:r>
      <w:r w:rsidRPr="00B415E3">
        <w:rPr>
          <w:sz w:val="20"/>
          <w:szCs w:val="20"/>
        </w:rPr>
        <w:t xml:space="preserve">Becker, J. M. (2015) SmartPLS 3. </w:t>
      </w:r>
      <w:hyperlink r:id="rId15">
        <w:r w:rsidRPr="00B415E3">
          <w:rPr>
            <w:sz w:val="20"/>
            <w:szCs w:val="20"/>
            <w:u w:val="single"/>
          </w:rPr>
          <w:t>www.smartpls.com</w:t>
        </w:r>
      </w:hyperlink>
    </w:p>
    <w:p w14:paraId="612CD44C" w14:textId="77777777" w:rsidR="0021652D" w:rsidRPr="00B415E3" w:rsidRDefault="001B2301">
      <w:pPr>
        <w:rPr>
          <w:sz w:val="20"/>
          <w:szCs w:val="20"/>
        </w:rPr>
      </w:pPr>
      <w:r w:rsidRPr="00B415E3">
        <w:rPr>
          <w:sz w:val="20"/>
          <w:szCs w:val="20"/>
        </w:rPr>
        <w:t xml:space="preserve">Rosen, P., &amp; Sherman, P. (2006). Hedonic information systems: acceptance of social networking websites. </w:t>
      </w:r>
      <w:r w:rsidRPr="00B415E3">
        <w:rPr>
          <w:i/>
          <w:sz w:val="20"/>
          <w:szCs w:val="20"/>
        </w:rPr>
        <w:t>AMCIS 2006 Proceedings</w:t>
      </w:r>
      <w:r w:rsidRPr="00B415E3">
        <w:rPr>
          <w:sz w:val="20"/>
          <w:szCs w:val="20"/>
        </w:rPr>
        <w:t>, 162.</w:t>
      </w:r>
    </w:p>
    <w:p w14:paraId="0FD953BC" w14:textId="77777777" w:rsidR="0021652D" w:rsidRPr="00B415E3" w:rsidRDefault="001B2301">
      <w:pPr>
        <w:rPr>
          <w:sz w:val="20"/>
          <w:szCs w:val="20"/>
        </w:rPr>
      </w:pPr>
      <w:r w:rsidRPr="00B415E3">
        <w:rPr>
          <w:sz w:val="20"/>
          <w:szCs w:val="20"/>
        </w:rPr>
        <w:t xml:space="preserve">Rovniak, L. S., Anderson, E. S., Winett, R. A., &amp; Stephens, R. S. (2002). Social-cognitive determinants of physical activity in young adults: A prospective structural equation analysis. </w:t>
      </w:r>
      <w:r w:rsidRPr="00FE70AD">
        <w:rPr>
          <w:i/>
          <w:iCs/>
          <w:sz w:val="20"/>
          <w:szCs w:val="20"/>
        </w:rPr>
        <w:t>Annals of Behavioral Medicine</w:t>
      </w:r>
      <w:r w:rsidRPr="00B415E3">
        <w:rPr>
          <w:sz w:val="20"/>
          <w:szCs w:val="20"/>
        </w:rPr>
        <w:t>, 24: 149-156.</w:t>
      </w:r>
    </w:p>
    <w:p w14:paraId="1F6E0AE5" w14:textId="77777777" w:rsidR="0021652D" w:rsidRPr="00B415E3" w:rsidRDefault="001B2301">
      <w:pPr>
        <w:rPr>
          <w:sz w:val="20"/>
          <w:szCs w:val="20"/>
        </w:rPr>
      </w:pPr>
      <w:r w:rsidRPr="00B415E3">
        <w:rPr>
          <w:sz w:val="20"/>
          <w:szCs w:val="20"/>
        </w:rPr>
        <w:t>Ryan, R. M., Rigby, C. S., &amp; Przybylski, A. K. (2006) The motivational pull of video games: A self-determination theory approach</w:t>
      </w:r>
      <w:r w:rsidRPr="006959FF">
        <w:rPr>
          <w:i/>
          <w:iCs/>
          <w:sz w:val="20"/>
          <w:szCs w:val="20"/>
        </w:rPr>
        <w:t>. Motivation and Emotion</w:t>
      </w:r>
      <w:r w:rsidRPr="00B415E3">
        <w:rPr>
          <w:sz w:val="20"/>
          <w:szCs w:val="20"/>
        </w:rPr>
        <w:t>, 30:347–364.</w:t>
      </w:r>
    </w:p>
    <w:p w14:paraId="5BA4C47D" w14:textId="74ACC35B" w:rsidR="0021652D" w:rsidRPr="00B415E3" w:rsidRDefault="001B2301">
      <w:pPr>
        <w:rPr>
          <w:sz w:val="20"/>
          <w:szCs w:val="20"/>
        </w:rPr>
      </w:pPr>
      <w:r w:rsidRPr="00B415E3">
        <w:rPr>
          <w:sz w:val="20"/>
          <w:szCs w:val="20"/>
        </w:rPr>
        <w:t xml:space="preserve">Sailer, M., Hense, J. U., Mayr, S. K., &amp; Mandl, H. (2017). How gamification motivates: An experimental study of the effects of specific game design elements on psychological need satisfaction. </w:t>
      </w:r>
      <w:r w:rsidRPr="00B415E3">
        <w:rPr>
          <w:i/>
          <w:sz w:val="20"/>
          <w:szCs w:val="20"/>
        </w:rPr>
        <w:t>Computers in Human Behavior</w:t>
      </w:r>
      <w:r w:rsidRPr="00B415E3">
        <w:rPr>
          <w:sz w:val="20"/>
          <w:szCs w:val="20"/>
        </w:rPr>
        <w:t xml:space="preserve">, </w:t>
      </w:r>
      <w:r w:rsidRPr="00B415E3">
        <w:rPr>
          <w:i/>
          <w:sz w:val="20"/>
          <w:szCs w:val="20"/>
        </w:rPr>
        <w:t>69</w:t>
      </w:r>
      <w:r w:rsidR="00B6225B">
        <w:rPr>
          <w:sz w:val="20"/>
          <w:szCs w:val="20"/>
        </w:rPr>
        <w:t>:</w:t>
      </w:r>
      <w:r w:rsidRPr="00B415E3">
        <w:rPr>
          <w:sz w:val="20"/>
          <w:szCs w:val="20"/>
        </w:rPr>
        <w:t>371-380.</w:t>
      </w:r>
    </w:p>
    <w:p w14:paraId="5B12CC52" w14:textId="77777777" w:rsidR="0021652D" w:rsidRPr="00B415E3" w:rsidRDefault="001B2301">
      <w:pPr>
        <w:rPr>
          <w:sz w:val="20"/>
          <w:szCs w:val="20"/>
        </w:rPr>
      </w:pPr>
      <w:r w:rsidRPr="00B415E3">
        <w:rPr>
          <w:sz w:val="20"/>
          <w:szCs w:val="20"/>
        </w:rPr>
        <w:t xml:space="preserve">Sarstedt, M., Ringle, C. M., &amp; Hair, J. F. (2017). Partial least squares structural equation modelling. In C. Homburg, M. Klarmann, &amp; A. Vomberg (Eds.), </w:t>
      </w:r>
      <w:r w:rsidRPr="00753D22">
        <w:rPr>
          <w:i/>
          <w:iCs/>
          <w:sz w:val="20"/>
          <w:szCs w:val="20"/>
        </w:rPr>
        <w:t>Handbook of market research</w:t>
      </w:r>
      <w:r w:rsidRPr="00B415E3">
        <w:rPr>
          <w:sz w:val="20"/>
          <w:szCs w:val="20"/>
        </w:rPr>
        <w:t xml:space="preserve">. Heidelberg: Springer. </w:t>
      </w:r>
    </w:p>
    <w:p w14:paraId="7B35489E" w14:textId="78AD3118" w:rsidR="0021652D" w:rsidRPr="00B415E3" w:rsidRDefault="001B2301">
      <w:pPr>
        <w:rPr>
          <w:sz w:val="20"/>
          <w:szCs w:val="20"/>
        </w:rPr>
      </w:pPr>
      <w:r w:rsidRPr="00B415E3">
        <w:rPr>
          <w:sz w:val="20"/>
          <w:szCs w:val="20"/>
        </w:rPr>
        <w:t xml:space="preserve">Schmitt, M. T., Silvia, P. J., </w:t>
      </w:r>
      <w:r w:rsidR="00E309D6">
        <w:rPr>
          <w:sz w:val="20"/>
          <w:szCs w:val="20"/>
        </w:rPr>
        <w:t xml:space="preserve">&amp; </w:t>
      </w:r>
      <w:r w:rsidRPr="00B415E3">
        <w:rPr>
          <w:sz w:val="20"/>
          <w:szCs w:val="20"/>
        </w:rPr>
        <w:t>Branscombe, N. R. (2000) The intersection of self-evaluation maintenance and social identity theories: Intragroup judgment in interpersonal and intergroup contexts. Personality and Social Psychology Bulletin, 26:1598-1606.</w:t>
      </w:r>
    </w:p>
    <w:p w14:paraId="462FC5A4" w14:textId="77777777" w:rsidR="0021652D" w:rsidRPr="00B415E3" w:rsidRDefault="001B2301">
      <w:pPr>
        <w:rPr>
          <w:sz w:val="20"/>
          <w:szCs w:val="20"/>
        </w:rPr>
      </w:pPr>
      <w:r w:rsidRPr="00B415E3">
        <w:rPr>
          <w:sz w:val="20"/>
          <w:szCs w:val="20"/>
        </w:rPr>
        <w:t xml:space="preserve">Schunk, D. H. (1986). Verbalization and children's self-regulated learning. </w:t>
      </w:r>
      <w:r w:rsidRPr="00CD166A">
        <w:rPr>
          <w:i/>
          <w:iCs/>
          <w:sz w:val="20"/>
          <w:szCs w:val="20"/>
        </w:rPr>
        <w:t>Contemporary Educational Psychology</w:t>
      </w:r>
      <w:r w:rsidRPr="00B415E3">
        <w:rPr>
          <w:sz w:val="20"/>
          <w:szCs w:val="20"/>
        </w:rPr>
        <w:t>, 11:347-369.</w:t>
      </w:r>
    </w:p>
    <w:p w14:paraId="31BE0251" w14:textId="21D9F8EC" w:rsidR="0021652D" w:rsidRPr="00B415E3" w:rsidRDefault="001B2301">
      <w:pPr>
        <w:rPr>
          <w:sz w:val="20"/>
          <w:szCs w:val="20"/>
        </w:rPr>
      </w:pPr>
      <w:r w:rsidRPr="00B415E3">
        <w:rPr>
          <w:sz w:val="20"/>
          <w:szCs w:val="20"/>
        </w:rPr>
        <w:t xml:space="preserve">Schunk, D. H., &amp; Dibenedetto, M. K. (2016). Self-efficacy theory in education. </w:t>
      </w:r>
      <w:r w:rsidRPr="00B415E3">
        <w:rPr>
          <w:i/>
          <w:sz w:val="20"/>
          <w:szCs w:val="20"/>
        </w:rPr>
        <w:t>Handbook of motivation at school</w:t>
      </w:r>
      <w:r w:rsidRPr="00B415E3">
        <w:rPr>
          <w:sz w:val="20"/>
          <w:szCs w:val="20"/>
        </w:rPr>
        <w:t xml:space="preserve">, </w:t>
      </w:r>
      <w:r w:rsidRPr="00B415E3">
        <w:rPr>
          <w:i/>
          <w:sz w:val="20"/>
          <w:szCs w:val="20"/>
        </w:rPr>
        <w:t>2</w:t>
      </w:r>
      <w:r w:rsidR="00D459E5">
        <w:rPr>
          <w:sz w:val="20"/>
          <w:szCs w:val="20"/>
        </w:rPr>
        <w:t>:</w:t>
      </w:r>
      <w:r w:rsidRPr="00B415E3">
        <w:rPr>
          <w:sz w:val="20"/>
          <w:szCs w:val="20"/>
        </w:rPr>
        <w:t>34-54.</w:t>
      </w:r>
    </w:p>
    <w:p w14:paraId="616B99D1" w14:textId="77777777" w:rsidR="0021652D" w:rsidRPr="00B415E3" w:rsidRDefault="001B2301">
      <w:pPr>
        <w:rPr>
          <w:sz w:val="20"/>
          <w:szCs w:val="20"/>
        </w:rPr>
      </w:pPr>
      <w:r w:rsidRPr="00B415E3">
        <w:rPr>
          <w:sz w:val="20"/>
          <w:szCs w:val="20"/>
        </w:rPr>
        <w:t xml:space="preserve">Schwarzer, R. &amp; Renner, B. (2000) Social-cognitive predictors of health behaviour: action self-efficacy and coping self-efficacy. </w:t>
      </w:r>
      <w:r w:rsidRPr="008A5A50">
        <w:rPr>
          <w:i/>
          <w:iCs/>
          <w:sz w:val="20"/>
          <w:szCs w:val="20"/>
        </w:rPr>
        <w:t>Health Psychology</w:t>
      </w:r>
      <w:r w:rsidRPr="00B415E3">
        <w:rPr>
          <w:sz w:val="20"/>
          <w:szCs w:val="20"/>
        </w:rPr>
        <w:t>, 19:487–495.</w:t>
      </w:r>
    </w:p>
    <w:p w14:paraId="77F8D032" w14:textId="77777777" w:rsidR="0021652D" w:rsidRPr="00B415E3" w:rsidRDefault="001B2301">
      <w:pPr>
        <w:rPr>
          <w:sz w:val="20"/>
          <w:szCs w:val="20"/>
        </w:rPr>
      </w:pPr>
      <w:r w:rsidRPr="00B415E3">
        <w:rPr>
          <w:sz w:val="20"/>
          <w:szCs w:val="20"/>
        </w:rPr>
        <w:t xml:space="preserve">Shea, P., &amp; Bidjerano, T. (2010). Learning presence: Towards a theory of self-efficacy, self-regulation, and the development of a community of inquiry in online and blended learning environments. </w:t>
      </w:r>
      <w:r w:rsidRPr="00B415E3">
        <w:rPr>
          <w:i/>
          <w:sz w:val="20"/>
          <w:szCs w:val="20"/>
        </w:rPr>
        <w:t>Computers &amp; Education</w:t>
      </w:r>
      <w:r w:rsidRPr="00B415E3">
        <w:rPr>
          <w:sz w:val="20"/>
          <w:szCs w:val="20"/>
        </w:rPr>
        <w:t xml:space="preserve">, </w:t>
      </w:r>
      <w:r w:rsidRPr="00B415E3">
        <w:rPr>
          <w:i/>
          <w:sz w:val="20"/>
          <w:szCs w:val="20"/>
        </w:rPr>
        <w:t>55</w:t>
      </w:r>
      <w:r w:rsidRPr="00B415E3">
        <w:rPr>
          <w:sz w:val="20"/>
          <w:szCs w:val="20"/>
        </w:rPr>
        <w:t>(4), 1721-1731.</w:t>
      </w:r>
    </w:p>
    <w:p w14:paraId="1F58163C" w14:textId="5B1ABDD9" w:rsidR="0021652D" w:rsidRPr="00B415E3" w:rsidRDefault="001B2301">
      <w:pPr>
        <w:rPr>
          <w:sz w:val="20"/>
          <w:szCs w:val="20"/>
        </w:rPr>
      </w:pPr>
      <w:r w:rsidRPr="00B415E3">
        <w:rPr>
          <w:sz w:val="20"/>
          <w:szCs w:val="20"/>
        </w:rPr>
        <w:t xml:space="preserve">Shen, J. (2012). Social comparison, social presence, and enjoyment in the acceptance of social shopping websites. </w:t>
      </w:r>
      <w:r w:rsidRPr="00B415E3">
        <w:rPr>
          <w:i/>
          <w:sz w:val="20"/>
          <w:szCs w:val="20"/>
        </w:rPr>
        <w:t>Journal of Electronic Commerce Research</w:t>
      </w:r>
      <w:r w:rsidRPr="00B415E3">
        <w:rPr>
          <w:sz w:val="20"/>
          <w:szCs w:val="20"/>
        </w:rPr>
        <w:t xml:space="preserve">, </w:t>
      </w:r>
      <w:r w:rsidRPr="00B415E3">
        <w:rPr>
          <w:i/>
          <w:sz w:val="20"/>
          <w:szCs w:val="20"/>
        </w:rPr>
        <w:t>13</w:t>
      </w:r>
      <w:r w:rsidRPr="00B415E3">
        <w:rPr>
          <w:sz w:val="20"/>
          <w:szCs w:val="20"/>
        </w:rPr>
        <w:t>(3), 198</w:t>
      </w:r>
      <w:r w:rsidR="00814AC2">
        <w:rPr>
          <w:sz w:val="20"/>
          <w:szCs w:val="20"/>
        </w:rPr>
        <w:t>-212</w:t>
      </w:r>
      <w:r w:rsidRPr="00B415E3">
        <w:rPr>
          <w:sz w:val="20"/>
          <w:szCs w:val="20"/>
        </w:rPr>
        <w:t>.</w:t>
      </w:r>
    </w:p>
    <w:p w14:paraId="1159D03F" w14:textId="77777777" w:rsidR="0021652D" w:rsidRPr="00B415E3" w:rsidRDefault="001B2301">
      <w:pPr>
        <w:rPr>
          <w:sz w:val="20"/>
          <w:szCs w:val="20"/>
        </w:rPr>
      </w:pPr>
      <w:r w:rsidRPr="00B415E3">
        <w:rPr>
          <w:sz w:val="20"/>
          <w:szCs w:val="20"/>
        </w:rPr>
        <w:t xml:space="preserve">Sherlock, L. M. (2007) When social networking meets online games: The activity system of grouping in World of Warcraft. </w:t>
      </w:r>
      <w:r w:rsidRPr="00FE1205">
        <w:rPr>
          <w:i/>
          <w:iCs/>
          <w:sz w:val="20"/>
          <w:szCs w:val="20"/>
        </w:rPr>
        <w:t>In Proceedings of the 2007 ACM International Conference on Design of Communication</w:t>
      </w:r>
      <w:r w:rsidRPr="00B415E3">
        <w:rPr>
          <w:sz w:val="20"/>
          <w:szCs w:val="20"/>
        </w:rPr>
        <w:t>, 14–20.</w:t>
      </w:r>
    </w:p>
    <w:p w14:paraId="3D96A933" w14:textId="446BD3EF" w:rsidR="0021652D" w:rsidRPr="00B415E3" w:rsidRDefault="001B2301">
      <w:pPr>
        <w:rPr>
          <w:sz w:val="20"/>
          <w:szCs w:val="20"/>
        </w:rPr>
      </w:pPr>
      <w:r w:rsidRPr="00B415E3">
        <w:rPr>
          <w:sz w:val="20"/>
          <w:szCs w:val="20"/>
        </w:rPr>
        <w:t xml:space="preserve">Shin, D. H., &amp; Shin, Y. J. (2011). Why do people play social network games? </w:t>
      </w:r>
      <w:r w:rsidRPr="00B415E3">
        <w:rPr>
          <w:i/>
          <w:sz w:val="20"/>
          <w:szCs w:val="20"/>
        </w:rPr>
        <w:t>Computers in Human Behavior</w:t>
      </w:r>
      <w:r w:rsidRPr="00B415E3">
        <w:rPr>
          <w:sz w:val="20"/>
          <w:szCs w:val="20"/>
        </w:rPr>
        <w:t xml:space="preserve">, </w:t>
      </w:r>
      <w:r w:rsidRPr="00B415E3">
        <w:rPr>
          <w:i/>
          <w:sz w:val="20"/>
          <w:szCs w:val="20"/>
        </w:rPr>
        <w:t>27</w:t>
      </w:r>
      <w:r w:rsidRPr="00B415E3">
        <w:rPr>
          <w:sz w:val="20"/>
          <w:szCs w:val="20"/>
        </w:rPr>
        <w:t>(2)</w:t>
      </w:r>
      <w:r w:rsidR="00775876">
        <w:rPr>
          <w:sz w:val="20"/>
          <w:szCs w:val="20"/>
        </w:rPr>
        <w:t>:</w:t>
      </w:r>
      <w:r w:rsidRPr="00B415E3">
        <w:rPr>
          <w:sz w:val="20"/>
          <w:szCs w:val="20"/>
        </w:rPr>
        <w:t xml:space="preserve"> 852-861.</w:t>
      </w:r>
    </w:p>
    <w:p w14:paraId="57E5D8BA" w14:textId="13F574CA" w:rsidR="0021652D" w:rsidRPr="00B415E3" w:rsidRDefault="001B2301">
      <w:pPr>
        <w:rPr>
          <w:sz w:val="20"/>
          <w:szCs w:val="20"/>
        </w:rPr>
      </w:pPr>
      <w:r w:rsidRPr="00B415E3">
        <w:rPr>
          <w:sz w:val="20"/>
          <w:szCs w:val="20"/>
        </w:rPr>
        <w:t xml:space="preserve">Shores, K., He, Y., K. Swanenburg, K., Kraut, R., </w:t>
      </w:r>
      <w:r w:rsidR="00E309D6">
        <w:rPr>
          <w:sz w:val="20"/>
          <w:szCs w:val="20"/>
        </w:rPr>
        <w:t xml:space="preserve">&amp; </w:t>
      </w:r>
      <w:r w:rsidRPr="00B415E3">
        <w:rPr>
          <w:sz w:val="20"/>
          <w:szCs w:val="20"/>
        </w:rPr>
        <w:t xml:space="preserve">Riedl, J. (2014). The Identification of Deviance and Its Impact on Retention in a Multiplayer Game. </w:t>
      </w:r>
      <w:r w:rsidRPr="00775876">
        <w:rPr>
          <w:i/>
          <w:iCs/>
          <w:sz w:val="20"/>
          <w:szCs w:val="20"/>
        </w:rPr>
        <w:t>In Proceedings of the 17th Conference on Computer Supported Cooperative Work &amp; Social Computing</w:t>
      </w:r>
      <w:r w:rsidRPr="00B415E3">
        <w:rPr>
          <w:sz w:val="20"/>
          <w:szCs w:val="20"/>
        </w:rPr>
        <w:t>, pages 1356–1365.</w:t>
      </w:r>
    </w:p>
    <w:p w14:paraId="27B83130" w14:textId="65B5541A" w:rsidR="0021652D" w:rsidRPr="00B625DD" w:rsidRDefault="001B2301" w:rsidP="00B625DD">
      <w:pPr>
        <w:spacing w:before="100" w:beforeAutospacing="1" w:after="100" w:afterAutospacing="1"/>
        <w:jc w:val="left"/>
        <w:rPr>
          <w:sz w:val="20"/>
          <w:szCs w:val="20"/>
          <w:lang w:val="en-US" w:eastAsia="es-ES"/>
        </w:rPr>
      </w:pPr>
      <w:r w:rsidRPr="00B625DD">
        <w:rPr>
          <w:sz w:val="20"/>
          <w:szCs w:val="20"/>
        </w:rPr>
        <w:lastRenderedPageBreak/>
        <w:t>Silic, M., &amp; Lowry, P. B. (20</w:t>
      </w:r>
      <w:r w:rsidR="005C49B1">
        <w:rPr>
          <w:sz w:val="20"/>
          <w:szCs w:val="20"/>
        </w:rPr>
        <w:t>20</w:t>
      </w:r>
      <w:r w:rsidRPr="00B625DD">
        <w:rPr>
          <w:sz w:val="20"/>
          <w:szCs w:val="20"/>
        </w:rPr>
        <w:t xml:space="preserve">). Using Design-Science Based Gamification to Improve Organizational Security Training and Compliance. </w:t>
      </w:r>
      <w:r w:rsidRPr="00B625DD">
        <w:rPr>
          <w:i/>
          <w:sz w:val="20"/>
          <w:szCs w:val="20"/>
        </w:rPr>
        <w:t>Journal of Management Information Systems</w:t>
      </w:r>
      <w:r w:rsidR="00B625DD" w:rsidRPr="00B625DD">
        <w:rPr>
          <w:sz w:val="20"/>
          <w:szCs w:val="20"/>
          <w:lang w:val="en-US" w:eastAsia="es-ES"/>
        </w:rPr>
        <w:t xml:space="preserve">, </w:t>
      </w:r>
      <w:r w:rsidR="00B625DD" w:rsidRPr="00956331">
        <w:rPr>
          <w:sz w:val="20"/>
          <w:szCs w:val="20"/>
          <w:lang w:val="en-US" w:eastAsia="es-ES"/>
        </w:rPr>
        <w:t>37(1):129-161</w:t>
      </w:r>
      <w:r w:rsidRPr="00B625DD">
        <w:rPr>
          <w:sz w:val="20"/>
          <w:szCs w:val="20"/>
        </w:rPr>
        <w:t>.</w:t>
      </w:r>
    </w:p>
    <w:p w14:paraId="6043BB34" w14:textId="77777777" w:rsidR="0021652D" w:rsidRPr="00B415E3" w:rsidRDefault="001B2301">
      <w:pPr>
        <w:rPr>
          <w:sz w:val="20"/>
          <w:szCs w:val="20"/>
        </w:rPr>
      </w:pPr>
      <w:r w:rsidRPr="00B415E3">
        <w:rPr>
          <w:sz w:val="20"/>
          <w:szCs w:val="20"/>
        </w:rPr>
        <w:t xml:space="preserve">Smith, R. H. (2000). Assimilative and contrastive emotional reactions to upward and downward social comparisons. In J. Suls &amp; L. Wheeler (Eds.), </w:t>
      </w:r>
      <w:r w:rsidRPr="00832AD3">
        <w:rPr>
          <w:i/>
          <w:iCs/>
          <w:sz w:val="20"/>
          <w:szCs w:val="20"/>
        </w:rPr>
        <w:t>Handbook of social comparison: Theory and research</w:t>
      </w:r>
      <w:r w:rsidRPr="00B415E3">
        <w:rPr>
          <w:sz w:val="20"/>
          <w:szCs w:val="20"/>
        </w:rPr>
        <w:t xml:space="preserve"> (pp. 173–200). New York: Kluwer Academic/Plenum Publishers.</w:t>
      </w:r>
    </w:p>
    <w:p w14:paraId="21719FA5" w14:textId="4C45EF71" w:rsidR="0021652D" w:rsidRPr="00B415E3" w:rsidRDefault="001B2301">
      <w:pPr>
        <w:rPr>
          <w:sz w:val="20"/>
          <w:szCs w:val="20"/>
        </w:rPr>
      </w:pPr>
      <w:r w:rsidRPr="00B415E3">
        <w:rPr>
          <w:sz w:val="20"/>
          <w:szCs w:val="20"/>
        </w:rPr>
        <w:t xml:space="preserve">Smith, R., Eyre, H., Powell, C., </w:t>
      </w:r>
      <w:r w:rsidR="00E309D6">
        <w:rPr>
          <w:sz w:val="20"/>
          <w:szCs w:val="20"/>
        </w:rPr>
        <w:t xml:space="preserve">&amp; </w:t>
      </w:r>
      <w:r w:rsidRPr="00B415E3">
        <w:rPr>
          <w:sz w:val="20"/>
          <w:szCs w:val="20"/>
        </w:rPr>
        <w:t xml:space="preserve">Kim, S. (2006). Relativistic origins of emotional reactions to events happening to others and to ourselves. </w:t>
      </w:r>
      <w:r w:rsidRPr="00345616">
        <w:rPr>
          <w:i/>
          <w:iCs/>
          <w:sz w:val="20"/>
          <w:szCs w:val="20"/>
        </w:rPr>
        <w:t>The British Journal of Social Psychology</w:t>
      </w:r>
      <w:r w:rsidRPr="00B415E3">
        <w:rPr>
          <w:sz w:val="20"/>
          <w:szCs w:val="20"/>
        </w:rPr>
        <w:t>, 45: 357–371.</w:t>
      </w:r>
    </w:p>
    <w:p w14:paraId="1F064A0C" w14:textId="78A2064E" w:rsidR="0021652D" w:rsidRPr="00B415E3" w:rsidRDefault="001B2301">
      <w:pPr>
        <w:rPr>
          <w:sz w:val="20"/>
          <w:szCs w:val="20"/>
        </w:rPr>
      </w:pPr>
      <w:r w:rsidRPr="00B415E3">
        <w:rPr>
          <w:sz w:val="20"/>
          <w:szCs w:val="20"/>
        </w:rPr>
        <w:t xml:space="preserve">Song, J., &amp; Kim, Y. J. (2006). Social influence process in the acceptance of a virtual community service. </w:t>
      </w:r>
      <w:r w:rsidRPr="00B415E3">
        <w:rPr>
          <w:i/>
          <w:sz w:val="20"/>
          <w:szCs w:val="20"/>
        </w:rPr>
        <w:t>Information Systems Frontiers</w:t>
      </w:r>
      <w:r w:rsidRPr="00B415E3">
        <w:rPr>
          <w:sz w:val="20"/>
          <w:szCs w:val="20"/>
        </w:rPr>
        <w:t xml:space="preserve">, </w:t>
      </w:r>
      <w:r w:rsidRPr="00B415E3">
        <w:rPr>
          <w:i/>
          <w:sz w:val="20"/>
          <w:szCs w:val="20"/>
        </w:rPr>
        <w:t>8</w:t>
      </w:r>
      <w:r w:rsidRPr="00B415E3">
        <w:rPr>
          <w:sz w:val="20"/>
          <w:szCs w:val="20"/>
        </w:rPr>
        <w:t>(3)</w:t>
      </w:r>
      <w:r w:rsidR="00345616">
        <w:rPr>
          <w:sz w:val="20"/>
          <w:szCs w:val="20"/>
        </w:rPr>
        <w:t>:</w:t>
      </w:r>
      <w:r w:rsidRPr="00B415E3">
        <w:rPr>
          <w:sz w:val="20"/>
          <w:szCs w:val="20"/>
        </w:rPr>
        <w:t>241-252.</w:t>
      </w:r>
    </w:p>
    <w:p w14:paraId="4F535E50" w14:textId="77777777" w:rsidR="0021652D" w:rsidRPr="00B415E3" w:rsidRDefault="001B2301">
      <w:pPr>
        <w:rPr>
          <w:sz w:val="20"/>
          <w:szCs w:val="20"/>
        </w:rPr>
      </w:pPr>
      <w:r w:rsidRPr="00B415E3">
        <w:rPr>
          <w:sz w:val="20"/>
          <w:szCs w:val="20"/>
        </w:rPr>
        <w:t xml:space="preserve">Stapel D. A., &amp; Koomen W. (2005). Competition, cooperation, and the effects of others on me. </w:t>
      </w:r>
      <w:r w:rsidRPr="00B415E3">
        <w:rPr>
          <w:i/>
          <w:iCs/>
          <w:sz w:val="20"/>
          <w:szCs w:val="20"/>
        </w:rPr>
        <w:t>Journal of Personality and Social Psychology</w:t>
      </w:r>
      <w:r w:rsidRPr="00B415E3">
        <w:rPr>
          <w:sz w:val="20"/>
          <w:szCs w:val="20"/>
        </w:rPr>
        <w:t>, 88:1029–1038.</w:t>
      </w:r>
    </w:p>
    <w:p w14:paraId="4C56067E" w14:textId="37C417B7" w:rsidR="0021652D" w:rsidRPr="00B415E3" w:rsidRDefault="001B2301">
      <w:pPr>
        <w:rPr>
          <w:sz w:val="20"/>
          <w:szCs w:val="20"/>
        </w:rPr>
      </w:pPr>
      <w:r w:rsidRPr="00B415E3">
        <w:rPr>
          <w:sz w:val="20"/>
          <w:szCs w:val="20"/>
        </w:rPr>
        <w:t xml:space="preserve">Stewart, T. L., Chipperfield, J. G., Ruthig, J. C., </w:t>
      </w:r>
      <w:r w:rsidR="00E309D6">
        <w:rPr>
          <w:sz w:val="20"/>
          <w:szCs w:val="20"/>
        </w:rPr>
        <w:t>&amp;</w:t>
      </w:r>
      <w:r w:rsidRPr="00B415E3">
        <w:rPr>
          <w:sz w:val="20"/>
          <w:szCs w:val="20"/>
        </w:rPr>
        <w:t xml:space="preserve"> Heckhausen, J. (2013) Downward social comparison and subjective well-being in late life: The moderating role of perceived control. </w:t>
      </w:r>
      <w:r w:rsidRPr="00B415E3">
        <w:rPr>
          <w:i/>
          <w:iCs/>
          <w:sz w:val="20"/>
          <w:szCs w:val="20"/>
        </w:rPr>
        <w:t>Aging and Mental Health</w:t>
      </w:r>
      <w:r w:rsidRPr="00B415E3">
        <w:rPr>
          <w:sz w:val="20"/>
          <w:szCs w:val="20"/>
        </w:rPr>
        <w:t>, 17(3):375–385.</w:t>
      </w:r>
    </w:p>
    <w:p w14:paraId="4B938299" w14:textId="543B4285" w:rsidR="00F95AFC" w:rsidRPr="00B415E3" w:rsidRDefault="00F95AFC">
      <w:pPr>
        <w:rPr>
          <w:sz w:val="20"/>
          <w:szCs w:val="20"/>
        </w:rPr>
      </w:pPr>
      <w:r w:rsidRPr="00B415E3">
        <w:rPr>
          <w:sz w:val="20"/>
          <w:szCs w:val="20"/>
        </w:rPr>
        <w:t xml:space="preserve">Stone, M. (1974). Cross validatory choice and assessment of statistical predictions, </w:t>
      </w:r>
      <w:r w:rsidRPr="00B415E3">
        <w:rPr>
          <w:i/>
          <w:iCs/>
          <w:sz w:val="20"/>
          <w:szCs w:val="20"/>
        </w:rPr>
        <w:t>Journal of the Royal Statistical Society,</w:t>
      </w:r>
      <w:r w:rsidRPr="00B415E3">
        <w:rPr>
          <w:sz w:val="20"/>
          <w:szCs w:val="20"/>
        </w:rPr>
        <w:t xml:space="preserve"> 36</w:t>
      </w:r>
      <w:r w:rsidR="00CE4937">
        <w:rPr>
          <w:sz w:val="20"/>
          <w:szCs w:val="20"/>
        </w:rPr>
        <w:t>(</w:t>
      </w:r>
      <w:r w:rsidRPr="00B415E3">
        <w:rPr>
          <w:sz w:val="20"/>
          <w:szCs w:val="20"/>
        </w:rPr>
        <w:t>2</w:t>
      </w:r>
      <w:r w:rsidR="00CE4937">
        <w:rPr>
          <w:sz w:val="20"/>
          <w:szCs w:val="20"/>
        </w:rPr>
        <w:t>):</w:t>
      </w:r>
      <w:r w:rsidRPr="00B415E3">
        <w:rPr>
          <w:sz w:val="20"/>
          <w:szCs w:val="20"/>
        </w:rPr>
        <w:t>111-147.</w:t>
      </w:r>
    </w:p>
    <w:p w14:paraId="1B43EB0A" w14:textId="77777777" w:rsidR="0021652D" w:rsidRPr="00B415E3" w:rsidRDefault="001B2301">
      <w:pPr>
        <w:rPr>
          <w:sz w:val="20"/>
          <w:szCs w:val="20"/>
        </w:rPr>
      </w:pPr>
      <w:r w:rsidRPr="00B415E3">
        <w:rPr>
          <w:sz w:val="20"/>
          <w:szCs w:val="20"/>
        </w:rPr>
        <w:t xml:space="preserve">Su Y., Chiang, W., Lee, C., &amp; Chang, H. (2016) The effect of flow experience on player loyalty in mobile game application, </w:t>
      </w:r>
      <w:r w:rsidRPr="00570C12">
        <w:rPr>
          <w:i/>
          <w:iCs/>
          <w:sz w:val="20"/>
          <w:szCs w:val="20"/>
        </w:rPr>
        <w:t>Computers in Human Behaviour</w:t>
      </w:r>
      <w:r w:rsidRPr="00B415E3">
        <w:rPr>
          <w:sz w:val="20"/>
          <w:szCs w:val="20"/>
        </w:rPr>
        <w:t>, 63:240-248.</w:t>
      </w:r>
    </w:p>
    <w:p w14:paraId="179C9B41" w14:textId="77777777" w:rsidR="0021652D" w:rsidRPr="00B415E3" w:rsidRDefault="001B2301">
      <w:pPr>
        <w:rPr>
          <w:sz w:val="20"/>
          <w:szCs w:val="20"/>
        </w:rPr>
      </w:pPr>
      <w:r w:rsidRPr="00B415E3">
        <w:rPr>
          <w:sz w:val="20"/>
          <w:szCs w:val="20"/>
        </w:rPr>
        <w:t>Suls, J. E., &amp; Wheeler, L. E. (2000) Handbook of social comparison: Theory and research. New York: Kluwer Academic/Plenum.</w:t>
      </w:r>
    </w:p>
    <w:p w14:paraId="6DFCBE10" w14:textId="277D5614" w:rsidR="0021652D" w:rsidRPr="00B415E3" w:rsidRDefault="001B2301">
      <w:pPr>
        <w:rPr>
          <w:sz w:val="20"/>
          <w:szCs w:val="20"/>
        </w:rPr>
      </w:pPr>
      <w:r w:rsidRPr="00B415E3">
        <w:rPr>
          <w:sz w:val="20"/>
          <w:szCs w:val="20"/>
        </w:rPr>
        <w:t xml:space="preserve">Suls, J., Martin, R. </w:t>
      </w:r>
      <w:r w:rsidR="00E309D6">
        <w:rPr>
          <w:sz w:val="20"/>
          <w:szCs w:val="20"/>
        </w:rPr>
        <w:t>&amp;</w:t>
      </w:r>
      <w:r w:rsidRPr="00B415E3">
        <w:rPr>
          <w:sz w:val="20"/>
          <w:szCs w:val="20"/>
        </w:rPr>
        <w:t xml:space="preserve"> Wheeler, L. (2002) Social comparison: why, with whom, and with what effect? </w:t>
      </w:r>
      <w:r w:rsidRPr="00727324">
        <w:rPr>
          <w:i/>
          <w:iCs/>
          <w:sz w:val="20"/>
          <w:szCs w:val="20"/>
        </w:rPr>
        <w:t>Current Directions in Psychological Science</w:t>
      </w:r>
      <w:r w:rsidRPr="00B415E3">
        <w:rPr>
          <w:sz w:val="20"/>
          <w:szCs w:val="20"/>
        </w:rPr>
        <w:t>, 11(5):159-163.</w:t>
      </w:r>
    </w:p>
    <w:p w14:paraId="14146786" w14:textId="64568C38" w:rsidR="0021652D" w:rsidRPr="00B415E3" w:rsidRDefault="001B2301">
      <w:pPr>
        <w:rPr>
          <w:sz w:val="20"/>
          <w:szCs w:val="20"/>
        </w:rPr>
      </w:pPr>
      <w:r w:rsidRPr="00B415E3">
        <w:rPr>
          <w:sz w:val="20"/>
          <w:szCs w:val="20"/>
        </w:rPr>
        <w:t xml:space="preserve">Sweetser, P., &amp; Wyeth, P. (2005). GameFlow: a model for evaluating player enjoyment in games. </w:t>
      </w:r>
      <w:r w:rsidRPr="00B415E3">
        <w:rPr>
          <w:i/>
          <w:sz w:val="20"/>
          <w:szCs w:val="20"/>
        </w:rPr>
        <w:t>Computers in Entertainment (CIE)</w:t>
      </w:r>
      <w:r w:rsidRPr="00B415E3">
        <w:rPr>
          <w:sz w:val="20"/>
          <w:szCs w:val="20"/>
        </w:rPr>
        <w:t xml:space="preserve">, </w:t>
      </w:r>
      <w:r w:rsidRPr="00B415E3">
        <w:rPr>
          <w:i/>
          <w:sz w:val="20"/>
          <w:szCs w:val="20"/>
        </w:rPr>
        <w:t>3</w:t>
      </w:r>
      <w:r w:rsidRPr="00B415E3">
        <w:rPr>
          <w:sz w:val="20"/>
          <w:szCs w:val="20"/>
        </w:rPr>
        <w:t>(3)</w:t>
      </w:r>
      <w:r w:rsidR="00727324">
        <w:rPr>
          <w:sz w:val="20"/>
          <w:szCs w:val="20"/>
        </w:rPr>
        <w:t>:</w:t>
      </w:r>
      <w:r w:rsidRPr="00B415E3">
        <w:rPr>
          <w:sz w:val="20"/>
          <w:szCs w:val="20"/>
        </w:rPr>
        <w:t xml:space="preserve"> 3-3.</w:t>
      </w:r>
    </w:p>
    <w:p w14:paraId="6DD42EF5" w14:textId="77777777" w:rsidR="0021652D" w:rsidRPr="00B415E3" w:rsidRDefault="001B2301">
      <w:pPr>
        <w:rPr>
          <w:sz w:val="20"/>
          <w:szCs w:val="20"/>
        </w:rPr>
      </w:pPr>
      <w:r w:rsidRPr="00B415E3">
        <w:rPr>
          <w:sz w:val="20"/>
          <w:szCs w:val="20"/>
        </w:rPr>
        <w:t xml:space="preserve">Tamborini R, Bowman ND, Eden A, et al. (2010) Defining media enjoyment as the satisfaction of intrinsic needs. </w:t>
      </w:r>
      <w:r w:rsidRPr="00DC05BD">
        <w:rPr>
          <w:i/>
          <w:iCs/>
          <w:sz w:val="20"/>
          <w:szCs w:val="20"/>
        </w:rPr>
        <w:t>Journal of Communication.</w:t>
      </w:r>
      <w:r w:rsidRPr="00B415E3">
        <w:rPr>
          <w:sz w:val="20"/>
          <w:szCs w:val="20"/>
        </w:rPr>
        <w:t xml:space="preserve"> 60:758-777.</w:t>
      </w:r>
    </w:p>
    <w:p w14:paraId="001A5E73" w14:textId="77777777" w:rsidR="0021652D" w:rsidRPr="00B415E3" w:rsidRDefault="001B2301">
      <w:pPr>
        <w:rPr>
          <w:sz w:val="20"/>
          <w:szCs w:val="20"/>
        </w:rPr>
      </w:pPr>
      <w:r w:rsidRPr="00B415E3">
        <w:rPr>
          <w:sz w:val="20"/>
          <w:szCs w:val="20"/>
        </w:rPr>
        <w:t xml:space="preserve">Taylor, S., &amp; Lobel, M. (1989) Social comparison activity under threat: Downward evaluation and upward contacts. </w:t>
      </w:r>
      <w:r w:rsidRPr="00D33207">
        <w:rPr>
          <w:i/>
          <w:iCs/>
          <w:sz w:val="20"/>
          <w:szCs w:val="20"/>
        </w:rPr>
        <w:t>Psychological Review</w:t>
      </w:r>
      <w:r w:rsidRPr="00B415E3">
        <w:rPr>
          <w:sz w:val="20"/>
          <w:szCs w:val="20"/>
        </w:rPr>
        <w:t>, 96:569-575.</w:t>
      </w:r>
    </w:p>
    <w:p w14:paraId="0EA6158E" w14:textId="77777777" w:rsidR="0021652D" w:rsidRPr="00B415E3" w:rsidRDefault="001B2301">
      <w:pPr>
        <w:rPr>
          <w:sz w:val="20"/>
          <w:szCs w:val="20"/>
        </w:rPr>
      </w:pPr>
      <w:r w:rsidRPr="00B415E3">
        <w:rPr>
          <w:sz w:val="20"/>
          <w:szCs w:val="20"/>
        </w:rPr>
        <w:t xml:space="preserve">Tennen, H., Mckee, T. E., &amp; Affleck, G. (2000). Social comparison processes in health and illness. In </w:t>
      </w:r>
      <w:r w:rsidRPr="00E76BDC">
        <w:rPr>
          <w:i/>
          <w:iCs/>
          <w:sz w:val="20"/>
          <w:szCs w:val="20"/>
        </w:rPr>
        <w:t>Handbook of social comparison</w:t>
      </w:r>
      <w:r w:rsidRPr="00B415E3">
        <w:rPr>
          <w:sz w:val="20"/>
          <w:szCs w:val="20"/>
        </w:rPr>
        <w:t xml:space="preserve"> (pp. 443-483). Springer, Boston, MA.</w:t>
      </w:r>
    </w:p>
    <w:p w14:paraId="1495AFC6" w14:textId="36598EB0" w:rsidR="0021652D" w:rsidRPr="00B415E3" w:rsidRDefault="001B2301">
      <w:pPr>
        <w:rPr>
          <w:sz w:val="20"/>
          <w:szCs w:val="20"/>
        </w:rPr>
      </w:pPr>
      <w:r w:rsidRPr="00B415E3">
        <w:rPr>
          <w:sz w:val="20"/>
          <w:szCs w:val="20"/>
        </w:rPr>
        <w:t xml:space="preserve">Tseng, F. C., Huang, H. C., &amp; Teng, C. I. (2015). How do online game communities retain gamers? Social presence and social capital perspectives. </w:t>
      </w:r>
      <w:r w:rsidRPr="00B415E3">
        <w:rPr>
          <w:i/>
          <w:sz w:val="20"/>
          <w:szCs w:val="20"/>
        </w:rPr>
        <w:t>Journal of Computer-Mediated Communication</w:t>
      </w:r>
      <w:r w:rsidRPr="00B415E3">
        <w:rPr>
          <w:sz w:val="20"/>
          <w:szCs w:val="20"/>
        </w:rPr>
        <w:t xml:space="preserve">, </w:t>
      </w:r>
      <w:r w:rsidRPr="00B415E3">
        <w:rPr>
          <w:i/>
          <w:sz w:val="20"/>
          <w:szCs w:val="20"/>
        </w:rPr>
        <w:t>20</w:t>
      </w:r>
      <w:r w:rsidRPr="00B415E3">
        <w:rPr>
          <w:sz w:val="20"/>
          <w:szCs w:val="20"/>
        </w:rPr>
        <w:t>(6)</w:t>
      </w:r>
      <w:r w:rsidR="00E76BDC">
        <w:rPr>
          <w:sz w:val="20"/>
          <w:szCs w:val="20"/>
        </w:rPr>
        <w:t>:</w:t>
      </w:r>
      <w:r w:rsidRPr="00B415E3">
        <w:rPr>
          <w:sz w:val="20"/>
          <w:szCs w:val="20"/>
        </w:rPr>
        <w:t>601-614.</w:t>
      </w:r>
    </w:p>
    <w:p w14:paraId="4D84EFD7" w14:textId="77777777" w:rsidR="0021652D" w:rsidRPr="00B415E3" w:rsidRDefault="001B2301">
      <w:pPr>
        <w:rPr>
          <w:sz w:val="20"/>
          <w:szCs w:val="20"/>
        </w:rPr>
      </w:pPr>
      <w:r w:rsidRPr="00B415E3">
        <w:rPr>
          <w:sz w:val="20"/>
          <w:szCs w:val="20"/>
        </w:rPr>
        <w:t xml:space="preserve">Turel, O., Serenko, A., &amp; Bontis, N. (2010). User acceptance of hedonic digital artifacts: A theory of consumption values perspective. </w:t>
      </w:r>
      <w:r w:rsidRPr="00B415E3">
        <w:rPr>
          <w:i/>
          <w:sz w:val="20"/>
          <w:szCs w:val="20"/>
        </w:rPr>
        <w:t>Information &amp; Management</w:t>
      </w:r>
      <w:r w:rsidRPr="00B415E3">
        <w:rPr>
          <w:sz w:val="20"/>
          <w:szCs w:val="20"/>
        </w:rPr>
        <w:t xml:space="preserve">, </w:t>
      </w:r>
      <w:r w:rsidRPr="00B415E3">
        <w:rPr>
          <w:i/>
          <w:sz w:val="20"/>
          <w:szCs w:val="20"/>
        </w:rPr>
        <w:t>47</w:t>
      </w:r>
      <w:r w:rsidRPr="00B415E3">
        <w:rPr>
          <w:sz w:val="20"/>
          <w:szCs w:val="20"/>
        </w:rPr>
        <w:t>(1), 53-59.</w:t>
      </w:r>
    </w:p>
    <w:p w14:paraId="7FF1DDE1" w14:textId="64264741" w:rsidR="0021652D" w:rsidRPr="00B415E3" w:rsidRDefault="001B2301">
      <w:pPr>
        <w:rPr>
          <w:sz w:val="20"/>
          <w:szCs w:val="20"/>
        </w:rPr>
      </w:pPr>
      <w:r w:rsidRPr="00B415E3">
        <w:rPr>
          <w:sz w:val="20"/>
          <w:szCs w:val="20"/>
        </w:rPr>
        <w:t xml:space="preserve">Turel, O., Serenko, A., &amp; Giles, P. (2011). Integrating technology addiction and use: An empirical investigation of online auction users. </w:t>
      </w:r>
      <w:r w:rsidRPr="00B415E3">
        <w:rPr>
          <w:i/>
          <w:sz w:val="20"/>
          <w:szCs w:val="20"/>
        </w:rPr>
        <w:t>MIS Quarterly</w:t>
      </w:r>
      <w:r w:rsidRPr="00B415E3">
        <w:rPr>
          <w:sz w:val="20"/>
          <w:szCs w:val="20"/>
        </w:rPr>
        <w:t xml:space="preserve">, </w:t>
      </w:r>
      <w:r w:rsidR="000706E5">
        <w:rPr>
          <w:sz w:val="20"/>
          <w:szCs w:val="20"/>
        </w:rPr>
        <w:t>35(4):</w:t>
      </w:r>
      <w:r w:rsidRPr="00B415E3">
        <w:rPr>
          <w:sz w:val="20"/>
          <w:szCs w:val="20"/>
        </w:rPr>
        <w:t>1043-1061.</w:t>
      </w:r>
    </w:p>
    <w:p w14:paraId="7CD9FDCA" w14:textId="6A4880F1" w:rsidR="0021652D" w:rsidRDefault="001B2301">
      <w:pPr>
        <w:rPr>
          <w:sz w:val="20"/>
          <w:szCs w:val="20"/>
        </w:rPr>
      </w:pPr>
      <w:r w:rsidRPr="00B415E3">
        <w:rPr>
          <w:sz w:val="20"/>
          <w:szCs w:val="20"/>
        </w:rPr>
        <w:t xml:space="preserve">Turel, O. (2015). Quitting the use of a habituated hedonic information system: a theoretical model and empirical examination of Facebook users. </w:t>
      </w:r>
      <w:r w:rsidRPr="00B415E3">
        <w:rPr>
          <w:i/>
          <w:sz w:val="20"/>
          <w:szCs w:val="20"/>
        </w:rPr>
        <w:t>European Journal of Information Systems</w:t>
      </w:r>
      <w:r w:rsidRPr="00B415E3">
        <w:rPr>
          <w:sz w:val="20"/>
          <w:szCs w:val="20"/>
        </w:rPr>
        <w:t xml:space="preserve">, </w:t>
      </w:r>
      <w:r w:rsidRPr="00B415E3">
        <w:rPr>
          <w:i/>
          <w:sz w:val="20"/>
          <w:szCs w:val="20"/>
        </w:rPr>
        <w:t>24</w:t>
      </w:r>
      <w:r w:rsidRPr="00B415E3">
        <w:rPr>
          <w:sz w:val="20"/>
          <w:szCs w:val="20"/>
        </w:rPr>
        <w:t>(4)</w:t>
      </w:r>
      <w:r w:rsidR="003F3E5C">
        <w:rPr>
          <w:sz w:val="20"/>
          <w:szCs w:val="20"/>
        </w:rPr>
        <w:t>:</w:t>
      </w:r>
      <w:r w:rsidRPr="00B415E3">
        <w:rPr>
          <w:sz w:val="20"/>
          <w:szCs w:val="20"/>
        </w:rPr>
        <w:t>431-446.</w:t>
      </w:r>
    </w:p>
    <w:p w14:paraId="7A878241" w14:textId="0FC6E8B7" w:rsidR="00BD04A2" w:rsidRPr="00BD04A2" w:rsidRDefault="00BD04A2">
      <w:pPr>
        <w:rPr>
          <w:sz w:val="20"/>
          <w:szCs w:val="20"/>
        </w:rPr>
      </w:pPr>
      <w:r w:rsidRPr="00BD04A2">
        <w:rPr>
          <w:sz w:val="20"/>
          <w:szCs w:val="20"/>
        </w:rPr>
        <w:lastRenderedPageBreak/>
        <w:t xml:space="preserve">Valogianni, K., Ketter, W., Collins, J., &amp; Zhdanov, D. (2020). Sustainable Electric Vehicle Charging using Adaptive Pricing. </w:t>
      </w:r>
      <w:r w:rsidRPr="00BD04A2">
        <w:rPr>
          <w:i/>
          <w:iCs/>
          <w:sz w:val="20"/>
          <w:szCs w:val="20"/>
        </w:rPr>
        <w:t>Production and Operations Management</w:t>
      </w:r>
      <w:r w:rsidRPr="00BD04A2">
        <w:rPr>
          <w:sz w:val="20"/>
          <w:szCs w:val="20"/>
        </w:rPr>
        <w:t xml:space="preserve">, </w:t>
      </w:r>
      <w:r w:rsidRPr="00BD04A2">
        <w:rPr>
          <w:i/>
          <w:iCs/>
          <w:sz w:val="20"/>
          <w:szCs w:val="20"/>
        </w:rPr>
        <w:t>29</w:t>
      </w:r>
      <w:r w:rsidRPr="00BD04A2">
        <w:rPr>
          <w:sz w:val="20"/>
          <w:szCs w:val="20"/>
        </w:rPr>
        <w:t>(6), 1550-1572</w:t>
      </w:r>
      <w:r>
        <w:rPr>
          <w:sz w:val="20"/>
          <w:szCs w:val="20"/>
        </w:rPr>
        <w:t>.</w:t>
      </w:r>
    </w:p>
    <w:p w14:paraId="51EA34BA" w14:textId="77777777" w:rsidR="0021652D" w:rsidRPr="00B415E3" w:rsidRDefault="001B2301">
      <w:pPr>
        <w:rPr>
          <w:sz w:val="20"/>
          <w:szCs w:val="20"/>
        </w:rPr>
      </w:pPr>
      <w:r w:rsidRPr="00B415E3">
        <w:rPr>
          <w:sz w:val="20"/>
          <w:szCs w:val="20"/>
        </w:rPr>
        <w:t xml:space="preserve">Van der Heijden, H. (2004) User acceptance of hedonic information systems. </w:t>
      </w:r>
      <w:r w:rsidRPr="003F3E5C">
        <w:rPr>
          <w:i/>
          <w:iCs/>
          <w:sz w:val="20"/>
          <w:szCs w:val="20"/>
        </w:rPr>
        <w:t>MIS Quarterly</w:t>
      </w:r>
      <w:r w:rsidRPr="00B415E3">
        <w:rPr>
          <w:sz w:val="20"/>
          <w:szCs w:val="20"/>
        </w:rPr>
        <w:t>, 28(4): 695–704.</w:t>
      </w:r>
    </w:p>
    <w:p w14:paraId="20F5B7A3" w14:textId="7B9393A3" w:rsidR="0021652D" w:rsidRPr="00B415E3" w:rsidRDefault="001B2301">
      <w:pPr>
        <w:rPr>
          <w:sz w:val="20"/>
          <w:szCs w:val="20"/>
        </w:rPr>
      </w:pPr>
      <w:r w:rsidRPr="00B415E3">
        <w:rPr>
          <w:sz w:val="20"/>
          <w:szCs w:val="20"/>
        </w:rPr>
        <w:t xml:space="preserve">Van der Zee, K., Buunk, B., Sanderman, R., Botke, G., </w:t>
      </w:r>
      <w:r w:rsidR="00E309D6">
        <w:rPr>
          <w:sz w:val="20"/>
          <w:szCs w:val="20"/>
        </w:rPr>
        <w:t xml:space="preserve">&amp; </w:t>
      </w:r>
      <w:r w:rsidRPr="00B415E3">
        <w:rPr>
          <w:sz w:val="20"/>
          <w:szCs w:val="20"/>
        </w:rPr>
        <w:t xml:space="preserve">y van den Bergh, F. (1999) The Big Five and Identification-contrast processes in social comparison in adjustment to cancer treatment. </w:t>
      </w:r>
      <w:r w:rsidRPr="00A616B1">
        <w:rPr>
          <w:i/>
          <w:iCs/>
          <w:sz w:val="20"/>
          <w:szCs w:val="20"/>
        </w:rPr>
        <w:t>European Journal of Personality</w:t>
      </w:r>
      <w:r w:rsidRPr="00B415E3">
        <w:rPr>
          <w:sz w:val="20"/>
          <w:szCs w:val="20"/>
        </w:rPr>
        <w:t xml:space="preserve">, 13(4):307-326. </w:t>
      </w:r>
    </w:p>
    <w:p w14:paraId="0D92A98E" w14:textId="746D6CFB" w:rsidR="0021652D" w:rsidRPr="00B415E3" w:rsidRDefault="001B2301">
      <w:pPr>
        <w:rPr>
          <w:sz w:val="20"/>
          <w:szCs w:val="20"/>
        </w:rPr>
      </w:pPr>
      <w:r w:rsidRPr="00B415E3">
        <w:rPr>
          <w:sz w:val="20"/>
          <w:szCs w:val="20"/>
        </w:rPr>
        <w:t>Van der Zee, K. I., Buunk, B. P., Sanderman, R., Botke, G., &amp; Van den Bergh, F. (2000) Social comparison and coping with cancer treatment</w:t>
      </w:r>
      <w:r w:rsidR="00FA33D3">
        <w:rPr>
          <w:sz w:val="20"/>
          <w:szCs w:val="20"/>
        </w:rPr>
        <w:t>.</w:t>
      </w:r>
      <w:r w:rsidRPr="00B415E3">
        <w:rPr>
          <w:sz w:val="20"/>
          <w:szCs w:val="20"/>
        </w:rPr>
        <w:t xml:space="preserve"> </w:t>
      </w:r>
      <w:r w:rsidRPr="00FA33D3">
        <w:rPr>
          <w:i/>
          <w:iCs/>
          <w:sz w:val="20"/>
          <w:szCs w:val="20"/>
        </w:rPr>
        <w:t>Personality and Individual Differences</w:t>
      </w:r>
      <w:r w:rsidRPr="00B415E3">
        <w:rPr>
          <w:sz w:val="20"/>
          <w:szCs w:val="20"/>
        </w:rPr>
        <w:t>, 28:17-34.</w:t>
      </w:r>
    </w:p>
    <w:p w14:paraId="4E7F6F0C" w14:textId="77777777" w:rsidR="0021652D" w:rsidRPr="00B415E3" w:rsidRDefault="001B2301">
      <w:pPr>
        <w:rPr>
          <w:sz w:val="20"/>
          <w:szCs w:val="20"/>
        </w:rPr>
      </w:pPr>
      <w:r w:rsidRPr="00956331">
        <w:rPr>
          <w:sz w:val="20"/>
          <w:szCs w:val="20"/>
          <w:lang w:val="en-US"/>
        </w:rPr>
        <w:t xml:space="preserve">Van Yperen, N. W., &amp; Janssen, O. (2002). </w:t>
      </w:r>
      <w:r w:rsidRPr="00B415E3">
        <w:rPr>
          <w:sz w:val="20"/>
          <w:szCs w:val="20"/>
        </w:rPr>
        <w:t xml:space="preserve">Feeling fatigued and dissatisfied or feeling fatigued but satisfied? Employees’ goal orientations and their responses to high job demands. </w:t>
      </w:r>
      <w:r w:rsidRPr="00125917">
        <w:rPr>
          <w:i/>
          <w:iCs/>
          <w:sz w:val="20"/>
          <w:szCs w:val="20"/>
        </w:rPr>
        <w:t>Academy of Management Journal</w:t>
      </w:r>
      <w:r w:rsidRPr="00B415E3">
        <w:rPr>
          <w:sz w:val="20"/>
          <w:szCs w:val="20"/>
        </w:rPr>
        <w:t>, 45: 1161–1171.</w:t>
      </w:r>
    </w:p>
    <w:p w14:paraId="09D3FD9F" w14:textId="53481D86" w:rsidR="0021652D" w:rsidRPr="00B415E3" w:rsidRDefault="001B2301">
      <w:pPr>
        <w:rPr>
          <w:sz w:val="20"/>
          <w:szCs w:val="20"/>
        </w:rPr>
      </w:pPr>
      <w:r w:rsidRPr="00B415E3">
        <w:rPr>
          <w:sz w:val="20"/>
          <w:szCs w:val="20"/>
        </w:rPr>
        <w:t xml:space="preserve">Velez, J. A., Ewoldsen, D. R., Hanus, M. D., Song, H., &amp; Villarreal, J. A. (2018). Social Comparisons and Need Fulfillment: Interpreting Video Game Enjoyment in the Context of Leaderboards. </w:t>
      </w:r>
      <w:r w:rsidRPr="00B415E3">
        <w:rPr>
          <w:i/>
          <w:sz w:val="20"/>
          <w:szCs w:val="20"/>
        </w:rPr>
        <w:t>Communication Research Reports</w:t>
      </w:r>
      <w:r w:rsidRPr="00B415E3">
        <w:rPr>
          <w:sz w:val="20"/>
          <w:szCs w:val="20"/>
        </w:rPr>
        <w:t xml:space="preserve">, </w:t>
      </w:r>
      <w:r w:rsidRPr="00B415E3">
        <w:rPr>
          <w:i/>
          <w:sz w:val="20"/>
          <w:szCs w:val="20"/>
        </w:rPr>
        <w:t>35</w:t>
      </w:r>
      <w:r w:rsidRPr="00B415E3">
        <w:rPr>
          <w:sz w:val="20"/>
          <w:szCs w:val="20"/>
        </w:rPr>
        <w:t>(5)</w:t>
      </w:r>
      <w:r w:rsidR="00125917">
        <w:rPr>
          <w:sz w:val="20"/>
          <w:szCs w:val="20"/>
        </w:rPr>
        <w:t>:</w:t>
      </w:r>
      <w:r w:rsidRPr="00B415E3">
        <w:rPr>
          <w:sz w:val="20"/>
          <w:szCs w:val="20"/>
        </w:rPr>
        <w:t>424-433.</w:t>
      </w:r>
    </w:p>
    <w:p w14:paraId="24B58392" w14:textId="77777777" w:rsidR="0021652D" w:rsidRPr="00B415E3" w:rsidRDefault="001B2301">
      <w:pPr>
        <w:rPr>
          <w:sz w:val="20"/>
          <w:szCs w:val="20"/>
        </w:rPr>
      </w:pPr>
      <w:r w:rsidRPr="00B415E3">
        <w:rPr>
          <w:sz w:val="20"/>
          <w:szCs w:val="20"/>
        </w:rPr>
        <w:t xml:space="preserve">Venkatesh, V. (2000) Determinants of perceived ease of use: integrating control, intrinsic motivation, and emotion into the technology acceptance model. </w:t>
      </w:r>
      <w:r w:rsidRPr="00EA0C0F">
        <w:rPr>
          <w:i/>
          <w:iCs/>
          <w:sz w:val="20"/>
          <w:szCs w:val="20"/>
        </w:rPr>
        <w:t>Information Systems Research</w:t>
      </w:r>
      <w:r w:rsidRPr="00B415E3">
        <w:rPr>
          <w:sz w:val="20"/>
          <w:szCs w:val="20"/>
        </w:rPr>
        <w:t>, 11(4):342-365.</w:t>
      </w:r>
    </w:p>
    <w:p w14:paraId="62854477" w14:textId="77777777" w:rsidR="0021652D" w:rsidRPr="00B415E3" w:rsidRDefault="001B2301">
      <w:pPr>
        <w:rPr>
          <w:sz w:val="20"/>
          <w:szCs w:val="20"/>
        </w:rPr>
      </w:pPr>
      <w:r w:rsidRPr="00B415E3">
        <w:rPr>
          <w:sz w:val="20"/>
          <w:szCs w:val="20"/>
        </w:rPr>
        <w:t xml:space="preserve">Vorderer, P., Hartmann, T., &amp; Klimmt, C. (2003, May). Explaining the enjoyment of playing video games: the role of competition. In </w:t>
      </w:r>
      <w:r w:rsidRPr="00B415E3">
        <w:rPr>
          <w:i/>
          <w:sz w:val="20"/>
          <w:szCs w:val="20"/>
        </w:rPr>
        <w:t>Proceedings of the second international conference on Entertainment computing</w:t>
      </w:r>
      <w:r w:rsidRPr="00B415E3">
        <w:rPr>
          <w:sz w:val="20"/>
          <w:szCs w:val="20"/>
        </w:rPr>
        <w:t xml:space="preserve"> (pp. 1-9). Carnegie Mellon University.</w:t>
      </w:r>
    </w:p>
    <w:p w14:paraId="2DA06D90" w14:textId="2AADFCA0" w:rsidR="0021652D" w:rsidRPr="00BE4DBD" w:rsidRDefault="001B2301">
      <w:pPr>
        <w:rPr>
          <w:sz w:val="20"/>
          <w:szCs w:val="20"/>
        </w:rPr>
      </w:pPr>
      <w:r w:rsidRPr="00BE4DBD">
        <w:rPr>
          <w:sz w:val="20"/>
          <w:szCs w:val="20"/>
        </w:rPr>
        <w:t xml:space="preserve">Vrugt, A. </w:t>
      </w:r>
      <w:r w:rsidR="00E309D6">
        <w:rPr>
          <w:sz w:val="20"/>
          <w:szCs w:val="20"/>
        </w:rPr>
        <w:t>&amp;</w:t>
      </w:r>
      <w:r w:rsidRPr="00BE4DBD">
        <w:rPr>
          <w:sz w:val="20"/>
          <w:szCs w:val="20"/>
        </w:rPr>
        <w:t xml:space="preserve"> Koenis, S. (2002) Perceived Self-Efficacy, Personal Goal, Social Comparison, and Scientific Productivity</w:t>
      </w:r>
      <w:r w:rsidR="00BE4DBD" w:rsidRPr="00BE4DBD">
        <w:rPr>
          <w:sz w:val="20"/>
          <w:szCs w:val="20"/>
        </w:rPr>
        <w:t>.</w:t>
      </w:r>
      <w:r w:rsidRPr="00BE4DBD">
        <w:rPr>
          <w:sz w:val="20"/>
          <w:szCs w:val="20"/>
        </w:rPr>
        <w:t xml:space="preserve"> </w:t>
      </w:r>
      <w:r w:rsidR="00BE4DBD" w:rsidRPr="00BE4DBD">
        <w:rPr>
          <w:i/>
          <w:iCs/>
          <w:sz w:val="20"/>
          <w:szCs w:val="20"/>
        </w:rPr>
        <w:t>Applied Psychology</w:t>
      </w:r>
      <w:r w:rsidR="00BE4DBD" w:rsidRPr="00BE4DBD">
        <w:rPr>
          <w:sz w:val="20"/>
          <w:szCs w:val="20"/>
        </w:rPr>
        <w:t xml:space="preserve">, </w:t>
      </w:r>
      <w:r w:rsidRPr="00BE4DBD">
        <w:rPr>
          <w:sz w:val="20"/>
          <w:szCs w:val="20"/>
        </w:rPr>
        <w:t>51(4):593-607.</w:t>
      </w:r>
    </w:p>
    <w:p w14:paraId="7E97E91A" w14:textId="77777777" w:rsidR="0021652D" w:rsidRPr="00B415E3" w:rsidRDefault="001B2301">
      <w:pPr>
        <w:rPr>
          <w:sz w:val="20"/>
          <w:szCs w:val="20"/>
        </w:rPr>
      </w:pPr>
      <w:r w:rsidRPr="00B415E3">
        <w:rPr>
          <w:sz w:val="20"/>
          <w:szCs w:val="20"/>
        </w:rPr>
        <w:t xml:space="preserve">Wheeler, L. (1966) Motivation as a determinant of upward comparison. </w:t>
      </w:r>
      <w:r w:rsidRPr="00804F65">
        <w:rPr>
          <w:i/>
          <w:iCs/>
          <w:sz w:val="20"/>
          <w:szCs w:val="20"/>
        </w:rPr>
        <w:t>Journal of Experimental Social Psychology</w:t>
      </w:r>
      <w:r w:rsidRPr="00B415E3">
        <w:rPr>
          <w:sz w:val="20"/>
          <w:szCs w:val="20"/>
        </w:rPr>
        <w:t>, Supplement, 1:27-31.</w:t>
      </w:r>
    </w:p>
    <w:p w14:paraId="24D688B4" w14:textId="77777777" w:rsidR="0021652D" w:rsidRPr="00B415E3" w:rsidRDefault="001B2301">
      <w:pPr>
        <w:rPr>
          <w:sz w:val="20"/>
          <w:szCs w:val="20"/>
        </w:rPr>
      </w:pPr>
      <w:r w:rsidRPr="00B415E3">
        <w:rPr>
          <w:sz w:val="20"/>
          <w:szCs w:val="20"/>
        </w:rPr>
        <w:t xml:space="preserve">White, J. B., Langer, E. J., Yariv, L., &amp; Welch, J. (2006). Frequent social comparisons and destructive emotions and behaviours: The dark side of social comparisons. </w:t>
      </w:r>
      <w:r w:rsidRPr="003E4112">
        <w:rPr>
          <w:i/>
          <w:iCs/>
          <w:sz w:val="20"/>
          <w:szCs w:val="20"/>
        </w:rPr>
        <w:t>Journal of Adult Development</w:t>
      </w:r>
      <w:r w:rsidRPr="00B415E3">
        <w:rPr>
          <w:sz w:val="20"/>
          <w:szCs w:val="20"/>
        </w:rPr>
        <w:t>, 13:36–44.</w:t>
      </w:r>
    </w:p>
    <w:p w14:paraId="5547176A" w14:textId="77777777" w:rsidR="0021652D" w:rsidRPr="00B415E3" w:rsidRDefault="001B2301">
      <w:pPr>
        <w:rPr>
          <w:sz w:val="20"/>
          <w:szCs w:val="20"/>
        </w:rPr>
      </w:pPr>
      <w:r w:rsidRPr="00B415E3">
        <w:rPr>
          <w:sz w:val="20"/>
          <w:szCs w:val="20"/>
        </w:rPr>
        <w:t xml:space="preserve">Wills, T. A. (1981) Downward comparison principles in social psychology. </w:t>
      </w:r>
      <w:r w:rsidRPr="007C4C05">
        <w:rPr>
          <w:i/>
          <w:iCs/>
          <w:sz w:val="20"/>
          <w:szCs w:val="20"/>
        </w:rPr>
        <w:t>Psychological Bulletin</w:t>
      </w:r>
      <w:r w:rsidRPr="00B415E3">
        <w:rPr>
          <w:sz w:val="20"/>
          <w:szCs w:val="20"/>
        </w:rPr>
        <w:t>, 90:245-271.</w:t>
      </w:r>
    </w:p>
    <w:p w14:paraId="235A15ED" w14:textId="77777777" w:rsidR="0021652D" w:rsidRPr="00B415E3" w:rsidRDefault="001B2301">
      <w:pPr>
        <w:rPr>
          <w:sz w:val="20"/>
          <w:szCs w:val="20"/>
        </w:rPr>
      </w:pPr>
      <w:r w:rsidRPr="00B415E3">
        <w:rPr>
          <w:sz w:val="20"/>
          <w:szCs w:val="20"/>
        </w:rPr>
        <w:t xml:space="preserve">Wood, J. V. (1989). Theory and research concerning social comparisons of personal attributes. </w:t>
      </w:r>
      <w:r w:rsidRPr="003E4112">
        <w:rPr>
          <w:i/>
          <w:iCs/>
          <w:sz w:val="20"/>
          <w:szCs w:val="20"/>
        </w:rPr>
        <w:t>Psychological Bulletin</w:t>
      </w:r>
      <w:r w:rsidRPr="00B415E3">
        <w:rPr>
          <w:sz w:val="20"/>
          <w:szCs w:val="20"/>
        </w:rPr>
        <w:t>, 106(2):231-248.</w:t>
      </w:r>
    </w:p>
    <w:p w14:paraId="5207E576" w14:textId="77777777" w:rsidR="0021652D" w:rsidRPr="00B415E3" w:rsidRDefault="001B2301">
      <w:pPr>
        <w:rPr>
          <w:sz w:val="20"/>
          <w:szCs w:val="20"/>
        </w:rPr>
      </w:pPr>
      <w:r w:rsidRPr="00B415E3">
        <w:rPr>
          <w:sz w:val="20"/>
          <w:szCs w:val="20"/>
        </w:rPr>
        <w:t xml:space="preserve">Wood, J. V. (1996) What is social comparison and how should we study it? </w:t>
      </w:r>
      <w:r w:rsidRPr="007C4C05">
        <w:rPr>
          <w:i/>
          <w:iCs/>
          <w:sz w:val="20"/>
          <w:szCs w:val="20"/>
        </w:rPr>
        <w:t>Personality and Social Psychology Bulletin</w:t>
      </w:r>
      <w:r w:rsidRPr="00B415E3">
        <w:rPr>
          <w:sz w:val="20"/>
          <w:szCs w:val="20"/>
        </w:rPr>
        <w:t>, 106:231-248.</w:t>
      </w:r>
    </w:p>
    <w:p w14:paraId="13FABAD5" w14:textId="77777777" w:rsidR="0021652D" w:rsidRPr="00B415E3" w:rsidRDefault="001B2301">
      <w:pPr>
        <w:rPr>
          <w:sz w:val="20"/>
          <w:szCs w:val="20"/>
        </w:rPr>
      </w:pPr>
      <w:r w:rsidRPr="00B415E3">
        <w:rPr>
          <w:sz w:val="20"/>
          <w:szCs w:val="20"/>
        </w:rPr>
        <w:t xml:space="preserve">Wang, Z. &amp; Scheepers, H. (2012) Understanding the Intrinsic Motivations of User Acceptance of Hedonic Information Systems: Towards a Unified Research Model, </w:t>
      </w:r>
      <w:r w:rsidRPr="007C4C05">
        <w:rPr>
          <w:i/>
          <w:iCs/>
          <w:sz w:val="20"/>
          <w:szCs w:val="20"/>
        </w:rPr>
        <w:t>Communications of the Association for Information Systems</w:t>
      </w:r>
      <w:r w:rsidRPr="00B415E3">
        <w:rPr>
          <w:sz w:val="20"/>
          <w:szCs w:val="20"/>
        </w:rPr>
        <w:t>: Vol. 30, Article 17.</w:t>
      </w:r>
    </w:p>
    <w:p w14:paraId="14DE447D" w14:textId="3FA0972C" w:rsidR="0021652D" w:rsidRPr="00B415E3" w:rsidRDefault="001B2301">
      <w:pPr>
        <w:rPr>
          <w:sz w:val="20"/>
          <w:szCs w:val="20"/>
        </w:rPr>
      </w:pPr>
      <w:r w:rsidRPr="00B415E3">
        <w:rPr>
          <w:sz w:val="20"/>
          <w:szCs w:val="20"/>
        </w:rPr>
        <w:t xml:space="preserve">Wang, D., Xu, L., &amp; Chan, H. C. (2015). Understanding the continuance use of social network sites: a computer self-efficacy perspective. </w:t>
      </w:r>
      <w:r w:rsidRPr="00B415E3">
        <w:rPr>
          <w:i/>
          <w:sz w:val="20"/>
          <w:szCs w:val="20"/>
        </w:rPr>
        <w:t>Behaviour &amp; Information Technology</w:t>
      </w:r>
      <w:r w:rsidRPr="00B415E3">
        <w:rPr>
          <w:sz w:val="20"/>
          <w:szCs w:val="20"/>
        </w:rPr>
        <w:t xml:space="preserve">, </w:t>
      </w:r>
      <w:r w:rsidRPr="00B415E3">
        <w:rPr>
          <w:i/>
          <w:sz w:val="20"/>
          <w:szCs w:val="20"/>
        </w:rPr>
        <w:t>34</w:t>
      </w:r>
      <w:r w:rsidRPr="00B415E3">
        <w:rPr>
          <w:sz w:val="20"/>
          <w:szCs w:val="20"/>
        </w:rPr>
        <w:t>(2)</w:t>
      </w:r>
      <w:r w:rsidR="007C4C05">
        <w:rPr>
          <w:sz w:val="20"/>
          <w:szCs w:val="20"/>
        </w:rPr>
        <w:t>:</w:t>
      </w:r>
      <w:r w:rsidRPr="00B415E3">
        <w:rPr>
          <w:sz w:val="20"/>
          <w:szCs w:val="20"/>
        </w:rPr>
        <w:t>204-216.</w:t>
      </w:r>
    </w:p>
    <w:p w14:paraId="2DF63159" w14:textId="76895B0F" w:rsidR="0021652D" w:rsidRPr="00B415E3" w:rsidRDefault="001B2301">
      <w:pPr>
        <w:rPr>
          <w:sz w:val="20"/>
          <w:szCs w:val="20"/>
        </w:rPr>
      </w:pPr>
      <w:r w:rsidRPr="00B415E3">
        <w:rPr>
          <w:sz w:val="20"/>
          <w:szCs w:val="20"/>
        </w:rPr>
        <w:t xml:space="preserve">Wu, C. G., Gerlach, J. H., &amp; Young, C. E. (2007). An empirical analysis of open source software developers’ motivations and continuance intentions. </w:t>
      </w:r>
      <w:r w:rsidRPr="00B415E3">
        <w:rPr>
          <w:i/>
          <w:sz w:val="20"/>
          <w:szCs w:val="20"/>
        </w:rPr>
        <w:t>Information &amp; Management</w:t>
      </w:r>
      <w:r w:rsidRPr="00B415E3">
        <w:rPr>
          <w:sz w:val="20"/>
          <w:szCs w:val="20"/>
        </w:rPr>
        <w:t xml:space="preserve">, </w:t>
      </w:r>
      <w:r w:rsidRPr="00B415E3">
        <w:rPr>
          <w:i/>
          <w:sz w:val="20"/>
          <w:szCs w:val="20"/>
        </w:rPr>
        <w:t>44</w:t>
      </w:r>
      <w:r w:rsidRPr="00B415E3">
        <w:rPr>
          <w:sz w:val="20"/>
          <w:szCs w:val="20"/>
        </w:rPr>
        <w:t>(3)</w:t>
      </w:r>
      <w:r w:rsidR="00A72C55">
        <w:rPr>
          <w:sz w:val="20"/>
          <w:szCs w:val="20"/>
        </w:rPr>
        <w:t>:</w:t>
      </w:r>
      <w:r w:rsidRPr="00B415E3">
        <w:rPr>
          <w:sz w:val="20"/>
          <w:szCs w:val="20"/>
        </w:rPr>
        <w:t>253-262.</w:t>
      </w:r>
    </w:p>
    <w:p w14:paraId="58CFF72D" w14:textId="6352B489" w:rsidR="0021652D" w:rsidRPr="00B415E3" w:rsidRDefault="001B2301">
      <w:pPr>
        <w:rPr>
          <w:sz w:val="20"/>
          <w:szCs w:val="20"/>
        </w:rPr>
      </w:pPr>
      <w:r w:rsidRPr="00B415E3">
        <w:rPr>
          <w:sz w:val="20"/>
          <w:szCs w:val="20"/>
        </w:rPr>
        <w:lastRenderedPageBreak/>
        <w:t xml:space="preserve">Wu, J., </w:t>
      </w:r>
      <w:r w:rsidR="00E309D6">
        <w:rPr>
          <w:sz w:val="20"/>
          <w:szCs w:val="20"/>
        </w:rPr>
        <w:t xml:space="preserve">&amp; </w:t>
      </w:r>
      <w:r w:rsidRPr="00B415E3">
        <w:rPr>
          <w:sz w:val="20"/>
          <w:szCs w:val="20"/>
        </w:rPr>
        <w:t xml:space="preserve">Liu, D. (2007) The effects of trust and enjoyment on intention to play online games. </w:t>
      </w:r>
      <w:r w:rsidRPr="008D6B03">
        <w:rPr>
          <w:i/>
          <w:iCs/>
          <w:sz w:val="20"/>
          <w:szCs w:val="20"/>
        </w:rPr>
        <w:t>Journal of Electronic Commerce Research</w:t>
      </w:r>
      <w:r w:rsidRPr="00B415E3">
        <w:rPr>
          <w:sz w:val="20"/>
          <w:szCs w:val="20"/>
        </w:rPr>
        <w:t>, 8(2):128-140.</w:t>
      </w:r>
    </w:p>
    <w:p w14:paraId="3D4A5D01" w14:textId="77777777" w:rsidR="0021652D" w:rsidRPr="00B415E3" w:rsidRDefault="001B2301">
      <w:pPr>
        <w:rPr>
          <w:sz w:val="20"/>
          <w:szCs w:val="20"/>
        </w:rPr>
      </w:pPr>
      <w:r w:rsidRPr="00B415E3">
        <w:rPr>
          <w:sz w:val="20"/>
          <w:szCs w:val="20"/>
        </w:rPr>
        <w:t xml:space="preserve">Wu, J. H., Wang, S. C., &amp; Tsai, H. H. (2010). Falling in love with online games: The use and gratifications perspective. </w:t>
      </w:r>
      <w:r w:rsidRPr="008556CC">
        <w:rPr>
          <w:i/>
          <w:iCs/>
          <w:sz w:val="20"/>
          <w:szCs w:val="20"/>
        </w:rPr>
        <w:t>Computers in Human Behaviour</w:t>
      </w:r>
      <w:r w:rsidRPr="00B415E3">
        <w:rPr>
          <w:sz w:val="20"/>
          <w:szCs w:val="20"/>
        </w:rPr>
        <w:t>, 26(6):1862–1871.</w:t>
      </w:r>
    </w:p>
    <w:p w14:paraId="68DEB92A" w14:textId="77777777" w:rsidR="0021652D" w:rsidRPr="00B415E3" w:rsidRDefault="001B2301">
      <w:pPr>
        <w:rPr>
          <w:sz w:val="20"/>
          <w:szCs w:val="20"/>
        </w:rPr>
      </w:pPr>
      <w:r w:rsidRPr="00B415E3">
        <w:rPr>
          <w:sz w:val="20"/>
          <w:szCs w:val="20"/>
        </w:rPr>
        <w:t xml:space="preserve">Wu, J., &amp; Srite, M. (2014). How envy influences SNS intentions to use. </w:t>
      </w:r>
      <w:r w:rsidRPr="00B415E3">
        <w:rPr>
          <w:i/>
          <w:sz w:val="20"/>
          <w:szCs w:val="20"/>
        </w:rPr>
        <w:t>Twentieth Americas Conference on Information Systems, Savannah</w:t>
      </w:r>
      <w:r w:rsidRPr="00B415E3">
        <w:rPr>
          <w:sz w:val="20"/>
          <w:szCs w:val="20"/>
        </w:rPr>
        <w:t xml:space="preserve">, 2014 </w:t>
      </w:r>
    </w:p>
    <w:p w14:paraId="43727D3D" w14:textId="4A557D70" w:rsidR="0021652D" w:rsidRPr="00B415E3" w:rsidRDefault="001B2301">
      <w:pPr>
        <w:rPr>
          <w:sz w:val="20"/>
          <w:szCs w:val="20"/>
        </w:rPr>
      </w:pPr>
      <w:r w:rsidRPr="00B415E3">
        <w:rPr>
          <w:sz w:val="20"/>
          <w:szCs w:val="20"/>
        </w:rPr>
        <w:t xml:space="preserve">Yee, N., (2006) Motivations for play in online games. </w:t>
      </w:r>
      <w:r w:rsidRPr="009C612D">
        <w:rPr>
          <w:i/>
          <w:iCs/>
          <w:sz w:val="20"/>
          <w:szCs w:val="20"/>
        </w:rPr>
        <w:t>Cyber</w:t>
      </w:r>
      <w:r w:rsidR="009C612D" w:rsidRPr="009C612D">
        <w:rPr>
          <w:i/>
          <w:iCs/>
          <w:sz w:val="20"/>
          <w:szCs w:val="20"/>
        </w:rPr>
        <w:t>-</w:t>
      </w:r>
      <w:r w:rsidRPr="009C612D">
        <w:rPr>
          <w:i/>
          <w:iCs/>
          <w:sz w:val="20"/>
          <w:szCs w:val="20"/>
        </w:rPr>
        <w:t>Psychology &amp; Behaviour</w:t>
      </w:r>
      <w:r w:rsidRPr="00B415E3">
        <w:rPr>
          <w:sz w:val="20"/>
          <w:szCs w:val="20"/>
        </w:rPr>
        <w:t>, 9(6):772-75</w:t>
      </w:r>
    </w:p>
    <w:p w14:paraId="1A3B661A" w14:textId="77777777" w:rsidR="0021652D" w:rsidRPr="00B415E3" w:rsidRDefault="001B2301">
      <w:pPr>
        <w:rPr>
          <w:sz w:val="20"/>
          <w:szCs w:val="20"/>
        </w:rPr>
      </w:pPr>
      <w:r w:rsidRPr="00B415E3">
        <w:rPr>
          <w:sz w:val="20"/>
          <w:szCs w:val="20"/>
        </w:rPr>
        <w:t xml:space="preserve">Xu, H., Dinev, T., Smith, J., &amp; Hart, P. (2011). Information privacy concerns: Linking individual perceptions with institutional privacy assurances. </w:t>
      </w:r>
      <w:r w:rsidRPr="00E757F0">
        <w:rPr>
          <w:i/>
          <w:iCs/>
          <w:sz w:val="20"/>
          <w:szCs w:val="20"/>
        </w:rPr>
        <w:t>Journal of the Association for Information Systems</w:t>
      </w:r>
      <w:r w:rsidRPr="00B415E3">
        <w:rPr>
          <w:sz w:val="20"/>
          <w:szCs w:val="20"/>
        </w:rPr>
        <w:t>, 12:798-824.</w:t>
      </w:r>
    </w:p>
    <w:p w14:paraId="73C8BE39" w14:textId="7C81DBBA" w:rsidR="0021652D" w:rsidRPr="00B415E3" w:rsidRDefault="001B2301">
      <w:pPr>
        <w:rPr>
          <w:sz w:val="20"/>
          <w:szCs w:val="20"/>
        </w:rPr>
      </w:pPr>
      <w:r w:rsidRPr="00B415E3">
        <w:rPr>
          <w:sz w:val="20"/>
          <w:szCs w:val="20"/>
        </w:rPr>
        <w:t xml:space="preserve">Zell, E., &amp; Alicke, M. D. (2013). Local dominance in health risk perception. </w:t>
      </w:r>
      <w:r w:rsidRPr="00B415E3">
        <w:rPr>
          <w:i/>
          <w:sz w:val="20"/>
          <w:szCs w:val="20"/>
        </w:rPr>
        <w:t>Psychology &amp; health</w:t>
      </w:r>
      <w:r w:rsidRPr="00B415E3">
        <w:rPr>
          <w:sz w:val="20"/>
          <w:szCs w:val="20"/>
        </w:rPr>
        <w:t xml:space="preserve">, </w:t>
      </w:r>
      <w:r w:rsidRPr="00B415E3">
        <w:rPr>
          <w:i/>
          <w:sz w:val="20"/>
          <w:szCs w:val="20"/>
        </w:rPr>
        <w:t>28</w:t>
      </w:r>
      <w:r w:rsidRPr="00B415E3">
        <w:rPr>
          <w:sz w:val="20"/>
          <w:szCs w:val="20"/>
        </w:rPr>
        <w:t>(4)</w:t>
      </w:r>
      <w:r w:rsidR="00973932">
        <w:rPr>
          <w:sz w:val="20"/>
          <w:szCs w:val="20"/>
        </w:rPr>
        <w:t>:</w:t>
      </w:r>
      <w:r w:rsidRPr="00B415E3">
        <w:rPr>
          <w:sz w:val="20"/>
          <w:szCs w:val="20"/>
        </w:rPr>
        <w:t>469-476.</w:t>
      </w:r>
    </w:p>
    <w:p w14:paraId="7736752F" w14:textId="7FE11ACF" w:rsidR="0021652D" w:rsidRPr="00B415E3" w:rsidRDefault="001B2301">
      <w:pPr>
        <w:rPr>
          <w:sz w:val="20"/>
          <w:szCs w:val="20"/>
        </w:rPr>
      </w:pPr>
      <w:r w:rsidRPr="00B415E3">
        <w:rPr>
          <w:sz w:val="20"/>
          <w:szCs w:val="20"/>
        </w:rPr>
        <w:t xml:space="preserve">Zhang, J., Liu, H., Li, Y., Qin, X., &amp; Wang, S. (2018). Video-driven group behaviour simulation based on social comparison theory. </w:t>
      </w:r>
      <w:r w:rsidRPr="00B415E3">
        <w:rPr>
          <w:i/>
          <w:sz w:val="20"/>
          <w:szCs w:val="20"/>
        </w:rPr>
        <w:t>Physica A: Statistical Mechanics and its Applications</w:t>
      </w:r>
      <w:r w:rsidRPr="00B415E3">
        <w:rPr>
          <w:sz w:val="20"/>
          <w:szCs w:val="20"/>
        </w:rPr>
        <w:t xml:space="preserve">, </w:t>
      </w:r>
      <w:r w:rsidRPr="00B415E3">
        <w:rPr>
          <w:i/>
          <w:sz w:val="20"/>
          <w:szCs w:val="20"/>
        </w:rPr>
        <w:t>512</w:t>
      </w:r>
      <w:r w:rsidR="00A60697">
        <w:rPr>
          <w:sz w:val="20"/>
          <w:szCs w:val="20"/>
        </w:rPr>
        <w:t>:</w:t>
      </w:r>
      <w:r w:rsidRPr="00B415E3">
        <w:rPr>
          <w:sz w:val="20"/>
          <w:szCs w:val="20"/>
        </w:rPr>
        <w:t>620-634.</w:t>
      </w:r>
    </w:p>
    <w:p w14:paraId="7F3A7C3D" w14:textId="3AF84691" w:rsidR="0021652D" w:rsidRPr="00B415E3" w:rsidRDefault="001B2301">
      <w:pPr>
        <w:rPr>
          <w:sz w:val="20"/>
          <w:szCs w:val="20"/>
        </w:rPr>
      </w:pPr>
      <w:r w:rsidRPr="00B415E3">
        <w:rPr>
          <w:sz w:val="20"/>
          <w:szCs w:val="20"/>
        </w:rPr>
        <w:t xml:space="preserve">Zhou, Z., Jin, X. L., &amp; Fang, Y. (2014). Moderating role of gender in the relationships between perceived benefits and satisfaction in social virtual world continuance. </w:t>
      </w:r>
      <w:r w:rsidRPr="00B415E3">
        <w:rPr>
          <w:i/>
          <w:sz w:val="20"/>
          <w:szCs w:val="20"/>
        </w:rPr>
        <w:t>Decision Support Systems</w:t>
      </w:r>
      <w:r w:rsidRPr="00B415E3">
        <w:rPr>
          <w:sz w:val="20"/>
          <w:szCs w:val="20"/>
        </w:rPr>
        <w:t xml:space="preserve">, </w:t>
      </w:r>
      <w:r w:rsidRPr="00B415E3">
        <w:rPr>
          <w:i/>
          <w:sz w:val="20"/>
          <w:szCs w:val="20"/>
        </w:rPr>
        <w:t>65</w:t>
      </w:r>
      <w:r w:rsidR="0053086C">
        <w:rPr>
          <w:sz w:val="20"/>
          <w:szCs w:val="20"/>
        </w:rPr>
        <w:t>:</w:t>
      </w:r>
      <w:r w:rsidRPr="00B415E3">
        <w:rPr>
          <w:sz w:val="20"/>
          <w:szCs w:val="20"/>
        </w:rPr>
        <w:t>69-79.</w:t>
      </w:r>
    </w:p>
    <w:p w14:paraId="589DDC9A" w14:textId="32C12508" w:rsidR="0021652D" w:rsidRPr="00B415E3" w:rsidRDefault="001B2301">
      <w:pPr>
        <w:rPr>
          <w:sz w:val="20"/>
          <w:szCs w:val="20"/>
        </w:rPr>
      </w:pPr>
      <w:r w:rsidRPr="00B415E3">
        <w:rPr>
          <w:sz w:val="20"/>
          <w:szCs w:val="20"/>
        </w:rPr>
        <w:t xml:space="preserve">Zhu, D. S., Lin, T. C. T., &amp; Hsu, Y. C. (2012). Using the technology acceptance model to evaluate user attitude and intention of use for online games. </w:t>
      </w:r>
      <w:r w:rsidRPr="00B415E3">
        <w:rPr>
          <w:i/>
          <w:sz w:val="20"/>
          <w:szCs w:val="20"/>
        </w:rPr>
        <w:t>Total Quality Management &amp; Business Excellence</w:t>
      </w:r>
      <w:r w:rsidRPr="00B415E3">
        <w:rPr>
          <w:sz w:val="20"/>
          <w:szCs w:val="20"/>
        </w:rPr>
        <w:t xml:space="preserve">, </w:t>
      </w:r>
      <w:r w:rsidRPr="00B415E3">
        <w:rPr>
          <w:i/>
          <w:sz w:val="20"/>
          <w:szCs w:val="20"/>
        </w:rPr>
        <w:t>23</w:t>
      </w:r>
      <w:r w:rsidRPr="00B415E3">
        <w:rPr>
          <w:sz w:val="20"/>
          <w:szCs w:val="20"/>
        </w:rPr>
        <w:t>(7-8)</w:t>
      </w:r>
      <w:r w:rsidR="00A76E47">
        <w:rPr>
          <w:sz w:val="20"/>
          <w:szCs w:val="20"/>
        </w:rPr>
        <w:t>:</w:t>
      </w:r>
      <w:r w:rsidRPr="00B415E3">
        <w:rPr>
          <w:sz w:val="20"/>
          <w:szCs w:val="20"/>
        </w:rPr>
        <w:t>965-980.</w:t>
      </w:r>
    </w:p>
    <w:p w14:paraId="0CD21A20" w14:textId="7340E389" w:rsidR="0021652D" w:rsidRPr="00B415E3" w:rsidRDefault="00C21E97">
      <w:pPr>
        <w:rPr>
          <w:sz w:val="20"/>
          <w:szCs w:val="20"/>
        </w:rPr>
      </w:pPr>
      <w:r>
        <w:rPr>
          <w:sz w:val="20"/>
          <w:szCs w:val="20"/>
        </w:rPr>
        <w:br w:type="page"/>
      </w:r>
    </w:p>
    <w:p w14:paraId="2770918C" w14:textId="135778C5" w:rsidR="0021652D" w:rsidRPr="00B415E3" w:rsidRDefault="001B2301">
      <w:pPr>
        <w:pStyle w:val="Heading1"/>
        <w:rPr>
          <w:color w:val="auto"/>
        </w:rPr>
      </w:pPr>
      <w:r w:rsidRPr="00B415E3">
        <w:rPr>
          <w:color w:val="auto"/>
        </w:rPr>
        <w:lastRenderedPageBreak/>
        <w:t xml:space="preserve">Appendix A </w:t>
      </w:r>
    </w:p>
    <w:p w14:paraId="248C68AD" w14:textId="77777777" w:rsidR="0021652D" w:rsidRPr="00B415E3" w:rsidRDefault="001B2301">
      <w:r w:rsidRPr="00B415E3">
        <w:t>Social Comparison strategies scales (source: Van der Zee et al. 2000).</w:t>
      </w:r>
    </w:p>
    <w:tbl>
      <w:tblPr>
        <w:tblStyle w:val="ad"/>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506"/>
      </w:tblGrid>
      <w:tr w:rsidR="00B415E3" w:rsidRPr="00B415E3" w14:paraId="4F37F85F" w14:textId="77777777">
        <w:tc>
          <w:tcPr>
            <w:tcW w:w="988" w:type="dxa"/>
          </w:tcPr>
          <w:p w14:paraId="39986CE5" w14:textId="77777777" w:rsidR="0021652D" w:rsidRPr="00B415E3" w:rsidRDefault="001B2301">
            <w:pPr>
              <w:spacing w:before="0"/>
              <w:rPr>
                <w:b/>
              </w:rPr>
            </w:pPr>
            <w:r w:rsidRPr="00B415E3">
              <w:rPr>
                <w:b/>
              </w:rPr>
              <w:t>Item</w:t>
            </w:r>
          </w:p>
        </w:tc>
        <w:tc>
          <w:tcPr>
            <w:tcW w:w="7506" w:type="dxa"/>
          </w:tcPr>
          <w:p w14:paraId="279661F0" w14:textId="77777777" w:rsidR="0021652D" w:rsidRPr="00B415E3" w:rsidRDefault="001B2301">
            <w:pPr>
              <w:spacing w:before="0"/>
              <w:rPr>
                <w:b/>
              </w:rPr>
            </w:pPr>
            <w:r w:rsidRPr="00B415E3">
              <w:rPr>
                <w:b/>
              </w:rPr>
              <w:t>Description</w:t>
            </w:r>
          </w:p>
        </w:tc>
      </w:tr>
      <w:tr w:rsidR="00B415E3" w:rsidRPr="00B415E3" w14:paraId="395610C4" w14:textId="77777777">
        <w:tc>
          <w:tcPr>
            <w:tcW w:w="988" w:type="dxa"/>
          </w:tcPr>
          <w:p w14:paraId="31403997" w14:textId="77777777" w:rsidR="0021652D" w:rsidRPr="00B415E3" w:rsidRDefault="0021652D">
            <w:pPr>
              <w:spacing w:before="0"/>
              <w:rPr>
                <w:lang w:val="es-ES"/>
              </w:rPr>
            </w:pPr>
          </w:p>
          <w:p w14:paraId="07EE30F9" w14:textId="77777777" w:rsidR="0021652D" w:rsidRPr="00B415E3" w:rsidRDefault="001B2301">
            <w:pPr>
              <w:spacing w:before="0"/>
              <w:rPr>
                <w:lang w:val="es-ES"/>
              </w:rPr>
            </w:pPr>
            <w:r w:rsidRPr="00B415E3">
              <w:rPr>
                <w:lang w:val="es-ES"/>
              </w:rPr>
              <w:t>UI1</w:t>
            </w:r>
          </w:p>
          <w:p w14:paraId="57D96F23" w14:textId="77777777" w:rsidR="0021652D" w:rsidRPr="00B415E3" w:rsidRDefault="001B2301">
            <w:pPr>
              <w:spacing w:before="0"/>
              <w:rPr>
                <w:lang w:val="es-ES"/>
              </w:rPr>
            </w:pPr>
            <w:r w:rsidRPr="00B415E3">
              <w:rPr>
                <w:lang w:val="es-ES"/>
              </w:rPr>
              <w:t>UI2</w:t>
            </w:r>
          </w:p>
          <w:p w14:paraId="4B8971C6" w14:textId="77777777" w:rsidR="0021652D" w:rsidRPr="00B415E3" w:rsidRDefault="001B2301">
            <w:pPr>
              <w:spacing w:before="0"/>
              <w:rPr>
                <w:lang w:val="es-ES"/>
              </w:rPr>
            </w:pPr>
            <w:r w:rsidRPr="00B415E3">
              <w:rPr>
                <w:lang w:val="es-ES"/>
              </w:rPr>
              <w:t>UI3</w:t>
            </w:r>
          </w:p>
          <w:p w14:paraId="72DE8D85" w14:textId="77777777" w:rsidR="0021652D" w:rsidRPr="00B415E3" w:rsidRDefault="0021652D">
            <w:pPr>
              <w:spacing w:before="0"/>
              <w:rPr>
                <w:lang w:val="es-ES"/>
              </w:rPr>
            </w:pPr>
          </w:p>
          <w:p w14:paraId="5EE82A4A" w14:textId="77777777" w:rsidR="0021652D" w:rsidRPr="00B415E3" w:rsidRDefault="001B2301">
            <w:pPr>
              <w:spacing w:before="0"/>
              <w:rPr>
                <w:lang w:val="es-ES"/>
              </w:rPr>
            </w:pPr>
            <w:r w:rsidRPr="00B415E3">
              <w:rPr>
                <w:lang w:val="es-ES"/>
              </w:rPr>
              <w:t>UC1</w:t>
            </w:r>
          </w:p>
          <w:p w14:paraId="0BAB4635" w14:textId="77777777" w:rsidR="0021652D" w:rsidRPr="00B415E3" w:rsidRDefault="001B2301">
            <w:pPr>
              <w:spacing w:before="0"/>
              <w:rPr>
                <w:lang w:val="es-ES"/>
              </w:rPr>
            </w:pPr>
            <w:r w:rsidRPr="00B415E3">
              <w:rPr>
                <w:lang w:val="es-ES"/>
              </w:rPr>
              <w:t>UC2</w:t>
            </w:r>
          </w:p>
          <w:p w14:paraId="44B11341" w14:textId="77777777" w:rsidR="0021652D" w:rsidRPr="00B415E3" w:rsidRDefault="001B2301">
            <w:pPr>
              <w:spacing w:before="0"/>
              <w:rPr>
                <w:lang w:val="es-ES"/>
              </w:rPr>
            </w:pPr>
            <w:r w:rsidRPr="00B415E3">
              <w:rPr>
                <w:lang w:val="es-ES"/>
              </w:rPr>
              <w:t>UC3</w:t>
            </w:r>
          </w:p>
          <w:p w14:paraId="583C80B3" w14:textId="77777777" w:rsidR="0021652D" w:rsidRPr="00B415E3" w:rsidRDefault="0021652D">
            <w:pPr>
              <w:spacing w:before="0"/>
              <w:rPr>
                <w:lang w:val="es-ES"/>
              </w:rPr>
            </w:pPr>
          </w:p>
          <w:p w14:paraId="242235EF" w14:textId="77777777" w:rsidR="0021652D" w:rsidRPr="00B415E3" w:rsidRDefault="0021652D">
            <w:pPr>
              <w:spacing w:before="0"/>
              <w:rPr>
                <w:lang w:val="es-ES"/>
              </w:rPr>
            </w:pPr>
          </w:p>
          <w:p w14:paraId="4F7BE2AC" w14:textId="77777777" w:rsidR="0021652D" w:rsidRPr="00B415E3" w:rsidRDefault="001B2301">
            <w:pPr>
              <w:spacing w:before="0"/>
            </w:pPr>
            <w:r w:rsidRPr="00B415E3">
              <w:t>DI1</w:t>
            </w:r>
          </w:p>
          <w:p w14:paraId="5EB3B9F2" w14:textId="77777777" w:rsidR="0021652D" w:rsidRPr="00B415E3" w:rsidRDefault="001B2301">
            <w:pPr>
              <w:spacing w:before="0"/>
            </w:pPr>
            <w:r w:rsidRPr="00B415E3">
              <w:t>DI2</w:t>
            </w:r>
          </w:p>
          <w:p w14:paraId="2FF17479" w14:textId="77777777" w:rsidR="0021652D" w:rsidRPr="00B415E3" w:rsidRDefault="001B2301">
            <w:pPr>
              <w:spacing w:before="0"/>
            </w:pPr>
            <w:r w:rsidRPr="00B415E3">
              <w:t>DI3</w:t>
            </w:r>
          </w:p>
          <w:p w14:paraId="5D0E0D96" w14:textId="77777777" w:rsidR="0021652D" w:rsidRPr="00B415E3" w:rsidRDefault="0021652D">
            <w:pPr>
              <w:spacing w:before="0"/>
            </w:pPr>
          </w:p>
          <w:p w14:paraId="7F2C2634" w14:textId="77777777" w:rsidR="0021652D" w:rsidRPr="00B415E3" w:rsidRDefault="001B2301">
            <w:pPr>
              <w:spacing w:before="0"/>
            </w:pPr>
            <w:r w:rsidRPr="00B415E3">
              <w:t>DC1</w:t>
            </w:r>
          </w:p>
          <w:p w14:paraId="5BC29C9D" w14:textId="77777777" w:rsidR="0021652D" w:rsidRPr="00B415E3" w:rsidRDefault="001B2301">
            <w:pPr>
              <w:spacing w:before="0"/>
            </w:pPr>
            <w:r w:rsidRPr="00B415E3">
              <w:t>DC2</w:t>
            </w:r>
          </w:p>
          <w:p w14:paraId="53FF1976" w14:textId="77777777" w:rsidR="0021652D" w:rsidRPr="00B415E3" w:rsidRDefault="001B2301">
            <w:pPr>
              <w:spacing w:before="0"/>
            </w:pPr>
            <w:r w:rsidRPr="00B415E3">
              <w:t>DC3</w:t>
            </w:r>
          </w:p>
        </w:tc>
        <w:tc>
          <w:tcPr>
            <w:tcW w:w="7506" w:type="dxa"/>
          </w:tcPr>
          <w:p w14:paraId="7C80A951" w14:textId="77777777" w:rsidR="0021652D" w:rsidRPr="00B415E3" w:rsidRDefault="001B2301">
            <w:pPr>
              <w:spacing w:before="0"/>
            </w:pPr>
            <w:r w:rsidRPr="00B415E3">
              <w:t>Following upward comparison:</w:t>
            </w:r>
          </w:p>
          <w:p w14:paraId="6EEC8661" w14:textId="77777777" w:rsidR="0021652D" w:rsidRPr="00B415E3" w:rsidRDefault="001B2301">
            <w:pPr>
              <w:spacing w:before="0"/>
            </w:pPr>
            <w:r w:rsidRPr="00B415E3">
              <w:t>...realize that it is possible to improve.</w:t>
            </w:r>
          </w:p>
          <w:p w14:paraId="02EC1E1E" w14:textId="77777777" w:rsidR="0021652D" w:rsidRPr="00B415E3" w:rsidRDefault="001B2301">
            <w:pPr>
              <w:spacing w:before="0"/>
            </w:pPr>
            <w:r w:rsidRPr="00B415E3">
              <w:t>...am pleased that things can get better.</w:t>
            </w:r>
          </w:p>
          <w:p w14:paraId="374C2783" w14:textId="77777777" w:rsidR="0021652D" w:rsidRPr="00B415E3" w:rsidRDefault="001B2301">
            <w:pPr>
              <w:spacing w:before="0"/>
            </w:pPr>
            <w:r w:rsidRPr="00B415E3">
              <w:t>...have good hope that my situation will improve.</w:t>
            </w:r>
          </w:p>
          <w:p w14:paraId="7F94926C" w14:textId="77777777" w:rsidR="0021652D" w:rsidRPr="00B415E3" w:rsidRDefault="0021652D">
            <w:pPr>
              <w:spacing w:before="0"/>
            </w:pPr>
          </w:p>
          <w:p w14:paraId="01C2352B" w14:textId="77777777" w:rsidR="0021652D" w:rsidRPr="00B415E3" w:rsidRDefault="001B2301">
            <w:pPr>
              <w:spacing w:before="0"/>
            </w:pPr>
            <w:r w:rsidRPr="00B415E3">
              <w:t>...it is threatening to notice that I am doing not so well.</w:t>
            </w:r>
          </w:p>
          <w:p w14:paraId="127E76E2" w14:textId="77777777" w:rsidR="0021652D" w:rsidRPr="00B415E3" w:rsidRDefault="001B2301">
            <w:pPr>
              <w:spacing w:before="0"/>
            </w:pPr>
            <w:r w:rsidRPr="00B415E3">
              <w:t>...feel frustrated about my own situation.</w:t>
            </w:r>
          </w:p>
          <w:p w14:paraId="18A381CA" w14:textId="77777777" w:rsidR="0021652D" w:rsidRPr="00B415E3" w:rsidRDefault="001B2301">
            <w:pPr>
              <w:spacing w:before="0"/>
            </w:pPr>
            <w:r w:rsidRPr="00B415E3">
              <w:t>...feel depressed realizing that I am not so well off</w:t>
            </w:r>
          </w:p>
          <w:p w14:paraId="53B6EA03" w14:textId="77777777" w:rsidR="0021652D" w:rsidRPr="00B415E3" w:rsidRDefault="0021652D">
            <w:pPr>
              <w:spacing w:before="0"/>
            </w:pPr>
          </w:p>
          <w:p w14:paraId="2B3C67CF" w14:textId="77777777" w:rsidR="0021652D" w:rsidRPr="00B415E3" w:rsidRDefault="001B2301">
            <w:pPr>
              <w:spacing w:before="0"/>
            </w:pPr>
            <w:r w:rsidRPr="00B415E3">
              <w:t>Following downward comparison:</w:t>
            </w:r>
          </w:p>
          <w:p w14:paraId="47672732" w14:textId="77777777" w:rsidR="0021652D" w:rsidRPr="00B415E3" w:rsidRDefault="001B2301">
            <w:pPr>
              <w:spacing w:before="0"/>
            </w:pPr>
            <w:r w:rsidRPr="00B415E3">
              <w:t>…experience fear to decline.</w:t>
            </w:r>
          </w:p>
          <w:p w14:paraId="5B578F71" w14:textId="77777777" w:rsidR="0021652D" w:rsidRPr="00B415E3" w:rsidRDefault="001B2301">
            <w:pPr>
              <w:spacing w:before="0"/>
            </w:pPr>
            <w:r w:rsidRPr="00B415E3">
              <w:t>…fear that my future will be similar.</w:t>
            </w:r>
          </w:p>
          <w:p w14:paraId="4926B991" w14:textId="77777777" w:rsidR="0021652D" w:rsidRPr="00B415E3" w:rsidRDefault="001B2301">
            <w:pPr>
              <w:spacing w:before="0"/>
            </w:pPr>
            <w:r w:rsidRPr="00B415E3">
              <w:t>…fear that I will go along the same way.</w:t>
            </w:r>
          </w:p>
          <w:p w14:paraId="6DA9CF82" w14:textId="77777777" w:rsidR="0021652D" w:rsidRPr="00B415E3" w:rsidRDefault="0021652D">
            <w:pPr>
              <w:spacing w:before="0"/>
            </w:pPr>
          </w:p>
          <w:p w14:paraId="268A9448" w14:textId="77777777" w:rsidR="0021652D" w:rsidRPr="00B415E3" w:rsidRDefault="001B2301">
            <w:pPr>
              <w:spacing w:before="0"/>
            </w:pPr>
            <w:r w:rsidRPr="00B415E3">
              <w:t>…I am happy that I am playing so well myself.</w:t>
            </w:r>
          </w:p>
          <w:p w14:paraId="2D6750EB" w14:textId="77777777" w:rsidR="0021652D" w:rsidRPr="00B415E3" w:rsidRDefault="001B2301">
            <w:pPr>
              <w:spacing w:before="0"/>
            </w:pPr>
            <w:r w:rsidRPr="00B415E3">
              <w:t>…I feel relieved about my own situation.</w:t>
            </w:r>
          </w:p>
          <w:p w14:paraId="6F981B23" w14:textId="77777777" w:rsidR="0021652D" w:rsidRPr="00B415E3" w:rsidRDefault="001B2301">
            <w:pPr>
              <w:spacing w:before="0"/>
            </w:pPr>
            <w:r w:rsidRPr="00B415E3">
              <w:t>…I realize how well I am playing.</w:t>
            </w:r>
          </w:p>
        </w:tc>
      </w:tr>
    </w:tbl>
    <w:p w14:paraId="35CDFD34" w14:textId="77777777" w:rsidR="0021652D" w:rsidRPr="00B415E3" w:rsidRDefault="001B2301">
      <w:r w:rsidRPr="00B415E3">
        <w:t>Self-efficacy scale (source: Venkatesh 2000).</w:t>
      </w:r>
    </w:p>
    <w:tbl>
      <w:tblPr>
        <w:tblStyle w:val="ae"/>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506"/>
      </w:tblGrid>
      <w:tr w:rsidR="00B415E3" w:rsidRPr="00B415E3" w14:paraId="493B80C7" w14:textId="77777777">
        <w:tc>
          <w:tcPr>
            <w:tcW w:w="988" w:type="dxa"/>
          </w:tcPr>
          <w:p w14:paraId="3A77911A" w14:textId="77777777" w:rsidR="0021652D" w:rsidRPr="00B415E3" w:rsidRDefault="001B2301">
            <w:pPr>
              <w:spacing w:before="0"/>
              <w:rPr>
                <w:b/>
              </w:rPr>
            </w:pPr>
            <w:r w:rsidRPr="00B415E3">
              <w:rPr>
                <w:b/>
              </w:rPr>
              <w:t>Item</w:t>
            </w:r>
          </w:p>
        </w:tc>
        <w:tc>
          <w:tcPr>
            <w:tcW w:w="7506" w:type="dxa"/>
          </w:tcPr>
          <w:p w14:paraId="18066ACA" w14:textId="77777777" w:rsidR="0021652D" w:rsidRPr="00B415E3" w:rsidRDefault="001B2301">
            <w:pPr>
              <w:spacing w:before="0"/>
              <w:rPr>
                <w:b/>
              </w:rPr>
            </w:pPr>
            <w:r w:rsidRPr="00B415E3">
              <w:rPr>
                <w:b/>
              </w:rPr>
              <w:t>Description</w:t>
            </w:r>
          </w:p>
        </w:tc>
      </w:tr>
      <w:tr w:rsidR="00B415E3" w:rsidRPr="00B415E3" w14:paraId="04DC0137" w14:textId="77777777">
        <w:tc>
          <w:tcPr>
            <w:tcW w:w="988" w:type="dxa"/>
          </w:tcPr>
          <w:p w14:paraId="0AC83161" w14:textId="77777777" w:rsidR="0021652D" w:rsidRPr="00B415E3" w:rsidRDefault="001B2301">
            <w:pPr>
              <w:spacing w:before="0"/>
            </w:pPr>
            <w:r w:rsidRPr="00B415E3">
              <w:t>SE1</w:t>
            </w:r>
          </w:p>
          <w:p w14:paraId="3D1B1CF9" w14:textId="77777777" w:rsidR="0021652D" w:rsidRPr="00B415E3" w:rsidRDefault="0021652D">
            <w:pPr>
              <w:spacing w:before="0"/>
            </w:pPr>
          </w:p>
          <w:p w14:paraId="543341EA" w14:textId="77777777" w:rsidR="0021652D" w:rsidRPr="00B415E3" w:rsidRDefault="001B2301">
            <w:pPr>
              <w:spacing w:before="0"/>
            </w:pPr>
            <w:r w:rsidRPr="00B415E3">
              <w:t>SE2</w:t>
            </w:r>
          </w:p>
          <w:p w14:paraId="4D749675" w14:textId="77777777" w:rsidR="0021652D" w:rsidRPr="00B415E3" w:rsidRDefault="001B2301">
            <w:pPr>
              <w:spacing w:before="0"/>
            </w:pPr>
            <w:r w:rsidRPr="00B415E3">
              <w:t>SE3</w:t>
            </w:r>
          </w:p>
          <w:p w14:paraId="0CBCE84A" w14:textId="77777777" w:rsidR="0021652D" w:rsidRPr="00B415E3" w:rsidRDefault="0021652D">
            <w:pPr>
              <w:spacing w:before="0"/>
            </w:pPr>
          </w:p>
          <w:p w14:paraId="462813EF" w14:textId="77777777" w:rsidR="0021652D" w:rsidRPr="00B415E3" w:rsidRDefault="001B2301">
            <w:pPr>
              <w:spacing w:before="0"/>
            </w:pPr>
            <w:r w:rsidRPr="00B415E3">
              <w:t>SE4</w:t>
            </w:r>
          </w:p>
        </w:tc>
        <w:tc>
          <w:tcPr>
            <w:tcW w:w="7506" w:type="dxa"/>
          </w:tcPr>
          <w:p w14:paraId="0A918262" w14:textId="77777777" w:rsidR="0021652D" w:rsidRPr="00B415E3" w:rsidRDefault="001B2301">
            <w:pPr>
              <w:spacing w:before="0"/>
            </w:pPr>
            <w:r w:rsidRPr="00B415E3">
              <w:t>I feel confident playing an online social game even if there is no one around to show me how to play it.</w:t>
            </w:r>
          </w:p>
          <w:p w14:paraId="0B4392D1" w14:textId="77777777" w:rsidR="0021652D" w:rsidRPr="00B415E3" w:rsidRDefault="001B2301">
            <w:pPr>
              <w:spacing w:before="0"/>
            </w:pPr>
            <w:r w:rsidRPr="00B415E3">
              <w:t>I feel confident playing an online game even if I have never played it before</w:t>
            </w:r>
          </w:p>
          <w:p w14:paraId="3A640BA8" w14:textId="77777777" w:rsidR="0021652D" w:rsidRPr="00B415E3" w:rsidRDefault="001B2301">
            <w:pPr>
              <w:spacing w:before="0"/>
            </w:pPr>
            <w:r w:rsidRPr="00B415E3">
              <w:t>I feel confident playing an online game even if I have only the online instructions as a reference.</w:t>
            </w:r>
          </w:p>
          <w:p w14:paraId="2B1FFA8F" w14:textId="77777777" w:rsidR="0021652D" w:rsidRPr="00B415E3" w:rsidRDefault="001B2301">
            <w:pPr>
              <w:spacing w:before="0"/>
            </w:pPr>
            <w:r w:rsidRPr="00B415E3">
              <w:t>I feel confident playing an online game if I see someone else playing it before I try it myself.</w:t>
            </w:r>
          </w:p>
        </w:tc>
      </w:tr>
    </w:tbl>
    <w:p w14:paraId="0727567A" w14:textId="77777777" w:rsidR="0021652D" w:rsidRPr="00B415E3" w:rsidRDefault="001B2301">
      <w:r w:rsidRPr="00B415E3">
        <w:t>Enjoyment scale (source: Ryan et al. 2006).</w:t>
      </w:r>
    </w:p>
    <w:tbl>
      <w:tblPr>
        <w:tblStyle w:val="af"/>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506"/>
      </w:tblGrid>
      <w:tr w:rsidR="00B415E3" w:rsidRPr="00B415E3" w14:paraId="3691B195" w14:textId="77777777">
        <w:tc>
          <w:tcPr>
            <w:tcW w:w="988" w:type="dxa"/>
          </w:tcPr>
          <w:p w14:paraId="0B2D4257" w14:textId="77777777" w:rsidR="0021652D" w:rsidRPr="00B415E3" w:rsidRDefault="001B2301">
            <w:pPr>
              <w:spacing w:before="0"/>
              <w:rPr>
                <w:b/>
              </w:rPr>
            </w:pPr>
            <w:r w:rsidRPr="00B415E3">
              <w:rPr>
                <w:b/>
              </w:rPr>
              <w:t>Item</w:t>
            </w:r>
          </w:p>
        </w:tc>
        <w:tc>
          <w:tcPr>
            <w:tcW w:w="7506" w:type="dxa"/>
          </w:tcPr>
          <w:p w14:paraId="6256CA09" w14:textId="77777777" w:rsidR="0021652D" w:rsidRPr="00B415E3" w:rsidRDefault="001B2301">
            <w:pPr>
              <w:spacing w:before="0"/>
              <w:rPr>
                <w:b/>
              </w:rPr>
            </w:pPr>
            <w:r w:rsidRPr="00B415E3">
              <w:rPr>
                <w:b/>
              </w:rPr>
              <w:t>Description</w:t>
            </w:r>
          </w:p>
        </w:tc>
      </w:tr>
      <w:tr w:rsidR="00B415E3" w:rsidRPr="00B415E3" w14:paraId="77344800" w14:textId="77777777">
        <w:tc>
          <w:tcPr>
            <w:tcW w:w="988" w:type="dxa"/>
          </w:tcPr>
          <w:p w14:paraId="0E5673B4" w14:textId="77777777" w:rsidR="0021652D" w:rsidRPr="00B415E3" w:rsidRDefault="001B2301">
            <w:pPr>
              <w:spacing w:before="0"/>
            </w:pPr>
            <w:r w:rsidRPr="00B415E3">
              <w:t>PE1</w:t>
            </w:r>
          </w:p>
          <w:p w14:paraId="25A17A50" w14:textId="77777777" w:rsidR="0021652D" w:rsidRPr="00B415E3" w:rsidRDefault="001B2301">
            <w:pPr>
              <w:spacing w:before="0"/>
            </w:pPr>
            <w:r w:rsidRPr="00B415E3">
              <w:t>PE2</w:t>
            </w:r>
          </w:p>
          <w:p w14:paraId="3EDE1233" w14:textId="77777777" w:rsidR="0021652D" w:rsidRPr="00B415E3" w:rsidRDefault="001B2301">
            <w:pPr>
              <w:spacing w:before="0"/>
            </w:pPr>
            <w:r w:rsidRPr="00B415E3">
              <w:t>PE3</w:t>
            </w:r>
          </w:p>
          <w:p w14:paraId="686CFEC6" w14:textId="77777777" w:rsidR="0021652D" w:rsidRPr="00B415E3" w:rsidRDefault="001B2301">
            <w:pPr>
              <w:spacing w:before="0"/>
            </w:pPr>
            <w:r w:rsidRPr="00B415E3">
              <w:t>PE4</w:t>
            </w:r>
          </w:p>
        </w:tc>
        <w:tc>
          <w:tcPr>
            <w:tcW w:w="7506" w:type="dxa"/>
          </w:tcPr>
          <w:p w14:paraId="3876E060" w14:textId="77777777" w:rsidR="0021652D" w:rsidRPr="00B415E3" w:rsidRDefault="001B2301">
            <w:pPr>
              <w:spacing w:before="0"/>
            </w:pPr>
            <w:r w:rsidRPr="00B415E3">
              <w:t>I enjoyed playing the game very much.</w:t>
            </w:r>
          </w:p>
          <w:p w14:paraId="438A92AC" w14:textId="77777777" w:rsidR="0021652D" w:rsidRPr="00B415E3" w:rsidRDefault="001B2301">
            <w:pPr>
              <w:spacing w:before="0"/>
            </w:pPr>
            <w:r w:rsidRPr="00B415E3">
              <w:t>Playing the game is fun to do</w:t>
            </w:r>
          </w:p>
          <w:p w14:paraId="3629BB7C" w14:textId="77777777" w:rsidR="0021652D" w:rsidRPr="00B415E3" w:rsidRDefault="001B2301">
            <w:pPr>
              <w:spacing w:before="0"/>
            </w:pPr>
            <w:r w:rsidRPr="00B415E3">
              <w:t>I thought the quest was very boring. (R)</w:t>
            </w:r>
          </w:p>
          <w:p w14:paraId="7A0A4635" w14:textId="77777777" w:rsidR="0021652D" w:rsidRPr="00B415E3" w:rsidRDefault="001B2301">
            <w:pPr>
              <w:spacing w:before="0"/>
            </w:pPr>
            <w:r w:rsidRPr="00B415E3">
              <w:t>Playing this game was very enjoyable.</w:t>
            </w:r>
          </w:p>
        </w:tc>
      </w:tr>
    </w:tbl>
    <w:p w14:paraId="2BBB25CE" w14:textId="77777777" w:rsidR="0021652D" w:rsidRPr="00B415E3" w:rsidRDefault="001B2301">
      <w:r w:rsidRPr="00B415E3">
        <w:t xml:space="preserve">Continuance intention scale (source: Hsiao &amp; Chiou 2012a) </w:t>
      </w:r>
    </w:p>
    <w:tbl>
      <w:tblPr>
        <w:tblStyle w:val="af0"/>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7506"/>
      </w:tblGrid>
      <w:tr w:rsidR="00B415E3" w:rsidRPr="00B415E3" w14:paraId="7FD60804" w14:textId="77777777">
        <w:tc>
          <w:tcPr>
            <w:tcW w:w="988" w:type="dxa"/>
          </w:tcPr>
          <w:p w14:paraId="45A628C7" w14:textId="77777777" w:rsidR="0021652D" w:rsidRPr="00B415E3" w:rsidRDefault="001B2301">
            <w:pPr>
              <w:spacing w:before="0"/>
              <w:rPr>
                <w:b/>
              </w:rPr>
            </w:pPr>
            <w:r w:rsidRPr="00B415E3">
              <w:rPr>
                <w:b/>
              </w:rPr>
              <w:t>Item</w:t>
            </w:r>
          </w:p>
        </w:tc>
        <w:tc>
          <w:tcPr>
            <w:tcW w:w="7506" w:type="dxa"/>
          </w:tcPr>
          <w:p w14:paraId="12772513" w14:textId="77777777" w:rsidR="0021652D" w:rsidRPr="00B415E3" w:rsidRDefault="001B2301">
            <w:pPr>
              <w:spacing w:before="0"/>
              <w:rPr>
                <w:b/>
              </w:rPr>
            </w:pPr>
            <w:r w:rsidRPr="00B415E3">
              <w:rPr>
                <w:b/>
              </w:rPr>
              <w:t>Description</w:t>
            </w:r>
          </w:p>
        </w:tc>
      </w:tr>
      <w:tr w:rsidR="0021652D" w:rsidRPr="00B415E3" w14:paraId="3BE0D072" w14:textId="77777777">
        <w:tc>
          <w:tcPr>
            <w:tcW w:w="988" w:type="dxa"/>
          </w:tcPr>
          <w:p w14:paraId="50FE718C" w14:textId="77777777" w:rsidR="0021652D" w:rsidRPr="00B415E3" w:rsidRDefault="001B2301">
            <w:pPr>
              <w:spacing w:before="0"/>
            </w:pPr>
            <w:r w:rsidRPr="00B415E3">
              <w:t>CI1</w:t>
            </w:r>
          </w:p>
          <w:p w14:paraId="4C56D782" w14:textId="77777777" w:rsidR="0021652D" w:rsidRPr="00B415E3" w:rsidRDefault="001B2301">
            <w:pPr>
              <w:spacing w:before="0"/>
            </w:pPr>
            <w:r w:rsidRPr="00B415E3">
              <w:t>CI2</w:t>
            </w:r>
          </w:p>
          <w:p w14:paraId="3A96734A" w14:textId="77777777" w:rsidR="0021652D" w:rsidRPr="00B415E3" w:rsidRDefault="001B2301">
            <w:pPr>
              <w:spacing w:before="0"/>
            </w:pPr>
            <w:r w:rsidRPr="00B415E3">
              <w:t>CI3</w:t>
            </w:r>
          </w:p>
        </w:tc>
        <w:tc>
          <w:tcPr>
            <w:tcW w:w="7506" w:type="dxa"/>
          </w:tcPr>
          <w:p w14:paraId="38D1A84A" w14:textId="77777777" w:rsidR="0021652D" w:rsidRPr="00B415E3" w:rsidRDefault="001B2301">
            <w:pPr>
              <w:spacing w:before="0"/>
            </w:pPr>
            <w:r w:rsidRPr="00B415E3">
              <w:t>In the future, I will continue to play Farm Heroes Saga.</w:t>
            </w:r>
          </w:p>
          <w:p w14:paraId="5E31E085" w14:textId="77777777" w:rsidR="0021652D" w:rsidRPr="00B415E3" w:rsidRDefault="001B2301">
            <w:pPr>
              <w:spacing w:before="0"/>
            </w:pPr>
            <w:r w:rsidRPr="00B415E3">
              <w:t>In the future, I will play Farm Heroes Saga often.</w:t>
            </w:r>
          </w:p>
          <w:p w14:paraId="3A7F2CA7" w14:textId="77777777" w:rsidR="0021652D" w:rsidRPr="00B415E3" w:rsidRDefault="001B2301">
            <w:pPr>
              <w:spacing w:before="0"/>
            </w:pPr>
            <w:r w:rsidRPr="00B415E3">
              <w:t>I will say the advantages of Farm Heroes Saga to other people.</w:t>
            </w:r>
          </w:p>
        </w:tc>
      </w:tr>
    </w:tbl>
    <w:p w14:paraId="3AA96DB8" w14:textId="77777777" w:rsidR="0021652D" w:rsidRPr="00B415E3" w:rsidRDefault="0021652D"/>
    <w:p w14:paraId="10E3108D" w14:textId="77777777" w:rsidR="0021652D" w:rsidRPr="00B415E3" w:rsidRDefault="0021652D"/>
    <w:p w14:paraId="71FEA97E" w14:textId="39ABEAB2" w:rsidR="0021652D" w:rsidRPr="00B415E3" w:rsidRDefault="001B2301">
      <w:pPr>
        <w:pStyle w:val="Heading1"/>
        <w:rPr>
          <w:color w:val="auto"/>
        </w:rPr>
      </w:pPr>
      <w:r w:rsidRPr="00B415E3">
        <w:rPr>
          <w:color w:val="auto"/>
        </w:rPr>
        <w:lastRenderedPageBreak/>
        <w:t xml:space="preserve">Appendix B </w:t>
      </w:r>
    </w:p>
    <w:p w14:paraId="51B9306C" w14:textId="77777777" w:rsidR="0021652D" w:rsidRPr="00B415E3" w:rsidRDefault="001B2301">
      <w:r w:rsidRPr="00B415E3">
        <w:t>PLS Component-Based Analysis: inner variance inflation factors (VIF), Loadings and cross-Loadings</w:t>
      </w:r>
    </w:p>
    <w:tbl>
      <w:tblPr>
        <w:tblStyle w:val="af1"/>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
        <w:gridCol w:w="699"/>
        <w:gridCol w:w="785"/>
        <w:gridCol w:w="785"/>
        <w:gridCol w:w="784"/>
        <w:gridCol w:w="784"/>
        <w:gridCol w:w="784"/>
        <w:gridCol w:w="784"/>
        <w:gridCol w:w="784"/>
        <w:gridCol w:w="784"/>
      </w:tblGrid>
      <w:tr w:rsidR="00B415E3" w:rsidRPr="00B415E3" w14:paraId="4823EFD0" w14:textId="77777777">
        <w:tc>
          <w:tcPr>
            <w:tcW w:w="820" w:type="dxa"/>
            <w:tcBorders>
              <w:top w:val="single" w:sz="4" w:space="0" w:color="000000"/>
              <w:left w:val="nil"/>
              <w:bottom w:val="single" w:sz="4" w:space="0" w:color="000000"/>
              <w:right w:val="single" w:sz="4" w:space="0" w:color="000000"/>
            </w:tcBorders>
          </w:tcPr>
          <w:p w14:paraId="48837D92" w14:textId="77777777" w:rsidR="0021652D" w:rsidRPr="00B415E3" w:rsidRDefault="001B2301">
            <w:pPr>
              <w:spacing w:before="0"/>
            </w:pPr>
            <w:r w:rsidRPr="00B415E3">
              <w:t>Items</w:t>
            </w:r>
          </w:p>
        </w:tc>
        <w:tc>
          <w:tcPr>
            <w:tcW w:w="699" w:type="dxa"/>
            <w:tcBorders>
              <w:top w:val="single" w:sz="4" w:space="0" w:color="000000"/>
              <w:left w:val="single" w:sz="4" w:space="0" w:color="000000"/>
              <w:bottom w:val="single" w:sz="4" w:space="0" w:color="000000"/>
              <w:right w:val="nil"/>
            </w:tcBorders>
          </w:tcPr>
          <w:p w14:paraId="777517D0" w14:textId="77777777" w:rsidR="0021652D" w:rsidRPr="00B415E3" w:rsidRDefault="001B2301">
            <w:pPr>
              <w:spacing w:before="0"/>
            </w:pPr>
            <w:r w:rsidRPr="00B415E3">
              <w:t>VIF</w:t>
            </w:r>
          </w:p>
        </w:tc>
        <w:tc>
          <w:tcPr>
            <w:tcW w:w="785" w:type="dxa"/>
            <w:tcBorders>
              <w:top w:val="single" w:sz="4" w:space="0" w:color="000000"/>
              <w:left w:val="nil"/>
              <w:bottom w:val="single" w:sz="4" w:space="0" w:color="000000"/>
              <w:right w:val="nil"/>
            </w:tcBorders>
          </w:tcPr>
          <w:p w14:paraId="621F753B" w14:textId="77777777" w:rsidR="0021652D" w:rsidRPr="00B415E3" w:rsidRDefault="001B2301">
            <w:pPr>
              <w:spacing w:before="0"/>
            </w:pPr>
            <w:r w:rsidRPr="00B415E3">
              <w:t>UI</w:t>
            </w:r>
          </w:p>
        </w:tc>
        <w:tc>
          <w:tcPr>
            <w:tcW w:w="785" w:type="dxa"/>
            <w:tcBorders>
              <w:top w:val="single" w:sz="4" w:space="0" w:color="000000"/>
              <w:left w:val="nil"/>
              <w:bottom w:val="single" w:sz="4" w:space="0" w:color="000000"/>
              <w:right w:val="nil"/>
            </w:tcBorders>
          </w:tcPr>
          <w:p w14:paraId="6BE13D36" w14:textId="77777777" w:rsidR="0021652D" w:rsidRPr="00B415E3" w:rsidRDefault="001B2301">
            <w:pPr>
              <w:spacing w:before="0"/>
            </w:pPr>
            <w:r w:rsidRPr="00B415E3">
              <w:t>UC</w:t>
            </w:r>
          </w:p>
        </w:tc>
        <w:tc>
          <w:tcPr>
            <w:tcW w:w="784" w:type="dxa"/>
            <w:tcBorders>
              <w:top w:val="single" w:sz="4" w:space="0" w:color="000000"/>
              <w:left w:val="nil"/>
              <w:bottom w:val="single" w:sz="4" w:space="0" w:color="000000"/>
              <w:right w:val="nil"/>
            </w:tcBorders>
          </w:tcPr>
          <w:p w14:paraId="3AF62638" w14:textId="77777777" w:rsidR="0021652D" w:rsidRPr="00B415E3" w:rsidRDefault="001B2301">
            <w:pPr>
              <w:spacing w:before="0"/>
            </w:pPr>
            <w:r w:rsidRPr="00B415E3">
              <w:t>DI</w:t>
            </w:r>
          </w:p>
        </w:tc>
        <w:tc>
          <w:tcPr>
            <w:tcW w:w="784" w:type="dxa"/>
            <w:tcBorders>
              <w:top w:val="single" w:sz="4" w:space="0" w:color="000000"/>
              <w:left w:val="nil"/>
              <w:bottom w:val="single" w:sz="4" w:space="0" w:color="000000"/>
              <w:right w:val="nil"/>
            </w:tcBorders>
          </w:tcPr>
          <w:p w14:paraId="102517E0" w14:textId="77777777" w:rsidR="0021652D" w:rsidRPr="00B415E3" w:rsidRDefault="001B2301">
            <w:pPr>
              <w:spacing w:before="0"/>
            </w:pPr>
            <w:r w:rsidRPr="00B415E3">
              <w:t>DC</w:t>
            </w:r>
          </w:p>
        </w:tc>
        <w:tc>
          <w:tcPr>
            <w:tcW w:w="784" w:type="dxa"/>
            <w:tcBorders>
              <w:top w:val="single" w:sz="4" w:space="0" w:color="000000"/>
              <w:left w:val="nil"/>
              <w:bottom w:val="single" w:sz="4" w:space="0" w:color="000000"/>
              <w:right w:val="nil"/>
            </w:tcBorders>
          </w:tcPr>
          <w:p w14:paraId="7A11A491" w14:textId="77777777" w:rsidR="0021652D" w:rsidRPr="00B415E3" w:rsidRDefault="001B2301">
            <w:pPr>
              <w:spacing w:before="0"/>
            </w:pPr>
            <w:r w:rsidRPr="00B415E3">
              <w:t>SE</w:t>
            </w:r>
          </w:p>
        </w:tc>
        <w:tc>
          <w:tcPr>
            <w:tcW w:w="784" w:type="dxa"/>
            <w:tcBorders>
              <w:top w:val="single" w:sz="4" w:space="0" w:color="000000"/>
              <w:left w:val="nil"/>
              <w:bottom w:val="single" w:sz="4" w:space="0" w:color="000000"/>
              <w:right w:val="nil"/>
            </w:tcBorders>
          </w:tcPr>
          <w:p w14:paraId="11E357B9" w14:textId="77777777" w:rsidR="0021652D" w:rsidRPr="00B415E3" w:rsidRDefault="001B2301">
            <w:pPr>
              <w:spacing w:before="0"/>
            </w:pPr>
            <w:r w:rsidRPr="00B415E3">
              <w:t>PE</w:t>
            </w:r>
          </w:p>
        </w:tc>
        <w:tc>
          <w:tcPr>
            <w:tcW w:w="784" w:type="dxa"/>
            <w:tcBorders>
              <w:top w:val="single" w:sz="4" w:space="0" w:color="000000"/>
              <w:left w:val="nil"/>
              <w:bottom w:val="single" w:sz="4" w:space="0" w:color="000000"/>
              <w:right w:val="nil"/>
            </w:tcBorders>
          </w:tcPr>
          <w:p w14:paraId="59A91039" w14:textId="77777777" w:rsidR="0021652D" w:rsidRPr="00B415E3" w:rsidRDefault="001B2301">
            <w:pPr>
              <w:spacing w:before="0"/>
            </w:pPr>
            <w:r w:rsidRPr="00B415E3">
              <w:t>CI</w:t>
            </w:r>
          </w:p>
        </w:tc>
        <w:tc>
          <w:tcPr>
            <w:tcW w:w="784" w:type="dxa"/>
            <w:tcBorders>
              <w:top w:val="single" w:sz="4" w:space="0" w:color="000000"/>
              <w:left w:val="nil"/>
              <w:bottom w:val="single" w:sz="4" w:space="0" w:color="000000"/>
              <w:right w:val="nil"/>
            </w:tcBorders>
          </w:tcPr>
          <w:p w14:paraId="45E04781" w14:textId="77777777" w:rsidR="0021652D" w:rsidRPr="00B415E3" w:rsidRDefault="001B2301">
            <w:pPr>
              <w:spacing w:before="0"/>
            </w:pPr>
            <w:r w:rsidRPr="00B415E3">
              <w:t>T1</w:t>
            </w:r>
          </w:p>
        </w:tc>
      </w:tr>
      <w:tr w:rsidR="00B415E3" w:rsidRPr="00B415E3" w14:paraId="62647DFC" w14:textId="77777777">
        <w:tc>
          <w:tcPr>
            <w:tcW w:w="820" w:type="dxa"/>
            <w:tcBorders>
              <w:top w:val="single" w:sz="4" w:space="0" w:color="000000"/>
              <w:left w:val="nil"/>
              <w:bottom w:val="nil"/>
              <w:right w:val="single" w:sz="4" w:space="0" w:color="000000"/>
            </w:tcBorders>
          </w:tcPr>
          <w:p w14:paraId="25B3D123" w14:textId="77777777" w:rsidR="0021652D" w:rsidRPr="00B415E3" w:rsidRDefault="001B2301">
            <w:pPr>
              <w:spacing w:before="0"/>
            </w:pPr>
            <w:r w:rsidRPr="00B415E3">
              <w:t>UI1</w:t>
            </w:r>
          </w:p>
          <w:p w14:paraId="7E6AE5A2" w14:textId="77777777" w:rsidR="0021652D" w:rsidRPr="00B415E3" w:rsidRDefault="001B2301">
            <w:pPr>
              <w:spacing w:before="0"/>
            </w:pPr>
            <w:r w:rsidRPr="00B415E3">
              <w:t>UI2</w:t>
            </w:r>
          </w:p>
          <w:p w14:paraId="65F86159" w14:textId="77777777" w:rsidR="0021652D" w:rsidRPr="00B415E3" w:rsidRDefault="001B2301">
            <w:pPr>
              <w:spacing w:before="0"/>
            </w:pPr>
            <w:r w:rsidRPr="00B415E3">
              <w:t>UI3</w:t>
            </w:r>
          </w:p>
        </w:tc>
        <w:tc>
          <w:tcPr>
            <w:tcW w:w="699" w:type="dxa"/>
            <w:tcBorders>
              <w:top w:val="single" w:sz="4" w:space="0" w:color="000000"/>
              <w:left w:val="single" w:sz="4" w:space="0" w:color="000000"/>
              <w:bottom w:val="nil"/>
              <w:right w:val="nil"/>
            </w:tcBorders>
          </w:tcPr>
          <w:p w14:paraId="04BB89F3" w14:textId="77777777" w:rsidR="0021652D" w:rsidRPr="00B415E3" w:rsidRDefault="001B2301">
            <w:pPr>
              <w:spacing w:before="0"/>
              <w:jc w:val="right"/>
            </w:pPr>
            <w:r w:rsidRPr="00B415E3">
              <w:t>2.45</w:t>
            </w:r>
          </w:p>
          <w:p w14:paraId="29A7D0FF" w14:textId="77777777" w:rsidR="0021652D" w:rsidRPr="00B415E3" w:rsidRDefault="001B2301">
            <w:pPr>
              <w:spacing w:before="0"/>
              <w:jc w:val="right"/>
            </w:pPr>
            <w:r w:rsidRPr="00B415E3">
              <w:t>2.69</w:t>
            </w:r>
          </w:p>
          <w:p w14:paraId="26099670" w14:textId="77777777" w:rsidR="0021652D" w:rsidRPr="00B415E3" w:rsidRDefault="001B2301">
            <w:pPr>
              <w:spacing w:before="0"/>
              <w:jc w:val="right"/>
            </w:pPr>
            <w:r w:rsidRPr="00B415E3">
              <w:t>2.30</w:t>
            </w:r>
          </w:p>
        </w:tc>
        <w:tc>
          <w:tcPr>
            <w:tcW w:w="785" w:type="dxa"/>
            <w:tcBorders>
              <w:top w:val="single" w:sz="4" w:space="0" w:color="000000"/>
              <w:left w:val="nil"/>
              <w:bottom w:val="nil"/>
              <w:right w:val="nil"/>
            </w:tcBorders>
          </w:tcPr>
          <w:p w14:paraId="58DD0B52" w14:textId="77777777" w:rsidR="0021652D" w:rsidRPr="00B415E3" w:rsidRDefault="001B2301">
            <w:pPr>
              <w:spacing w:before="0"/>
              <w:jc w:val="right"/>
              <w:rPr>
                <w:b/>
              </w:rPr>
            </w:pPr>
            <w:r w:rsidRPr="00B415E3">
              <w:rPr>
                <w:b/>
              </w:rPr>
              <w:t>0,89</w:t>
            </w:r>
          </w:p>
          <w:p w14:paraId="33083151" w14:textId="77777777" w:rsidR="0021652D" w:rsidRPr="00B415E3" w:rsidRDefault="001B2301">
            <w:pPr>
              <w:spacing w:before="0"/>
              <w:jc w:val="right"/>
              <w:rPr>
                <w:b/>
              </w:rPr>
            </w:pPr>
            <w:r w:rsidRPr="00B415E3">
              <w:rPr>
                <w:b/>
              </w:rPr>
              <w:t>0,91</w:t>
            </w:r>
          </w:p>
          <w:p w14:paraId="5C58B2D0" w14:textId="77777777" w:rsidR="0021652D" w:rsidRPr="00B415E3" w:rsidRDefault="001B2301">
            <w:pPr>
              <w:spacing w:before="0"/>
              <w:jc w:val="right"/>
            </w:pPr>
            <w:r w:rsidRPr="00B415E3">
              <w:rPr>
                <w:b/>
              </w:rPr>
              <w:t>0,89</w:t>
            </w:r>
          </w:p>
        </w:tc>
        <w:tc>
          <w:tcPr>
            <w:tcW w:w="785" w:type="dxa"/>
            <w:tcBorders>
              <w:top w:val="single" w:sz="4" w:space="0" w:color="000000"/>
              <w:left w:val="nil"/>
              <w:bottom w:val="nil"/>
              <w:right w:val="nil"/>
            </w:tcBorders>
          </w:tcPr>
          <w:p w14:paraId="51D0ACDA" w14:textId="77777777" w:rsidR="0021652D" w:rsidRPr="00B415E3" w:rsidRDefault="001B2301">
            <w:pPr>
              <w:spacing w:before="0"/>
              <w:jc w:val="right"/>
            </w:pPr>
            <w:r w:rsidRPr="00B415E3">
              <w:t>-0,30</w:t>
            </w:r>
          </w:p>
          <w:p w14:paraId="4D84187D" w14:textId="77777777" w:rsidR="0021652D" w:rsidRPr="00B415E3" w:rsidRDefault="001B2301">
            <w:pPr>
              <w:spacing w:before="0"/>
              <w:jc w:val="right"/>
            </w:pPr>
            <w:r w:rsidRPr="00B415E3">
              <w:t>-0,30</w:t>
            </w:r>
          </w:p>
          <w:p w14:paraId="5FAC3F76" w14:textId="77777777" w:rsidR="0021652D" w:rsidRPr="00B415E3" w:rsidRDefault="001B2301">
            <w:pPr>
              <w:spacing w:before="0"/>
              <w:jc w:val="right"/>
            </w:pPr>
            <w:r w:rsidRPr="00B415E3">
              <w:t>-0,33</w:t>
            </w:r>
          </w:p>
        </w:tc>
        <w:tc>
          <w:tcPr>
            <w:tcW w:w="784" w:type="dxa"/>
            <w:tcBorders>
              <w:top w:val="single" w:sz="4" w:space="0" w:color="000000"/>
              <w:left w:val="nil"/>
              <w:bottom w:val="nil"/>
              <w:right w:val="nil"/>
            </w:tcBorders>
          </w:tcPr>
          <w:p w14:paraId="6E0B79B7" w14:textId="77777777" w:rsidR="0021652D" w:rsidRPr="00B415E3" w:rsidRDefault="001B2301">
            <w:pPr>
              <w:spacing w:before="0"/>
              <w:jc w:val="right"/>
            </w:pPr>
            <w:r w:rsidRPr="00B415E3">
              <w:t>-0,39</w:t>
            </w:r>
          </w:p>
          <w:p w14:paraId="4949583E" w14:textId="77777777" w:rsidR="0021652D" w:rsidRPr="00B415E3" w:rsidRDefault="001B2301">
            <w:pPr>
              <w:spacing w:before="0"/>
              <w:jc w:val="right"/>
            </w:pPr>
            <w:r w:rsidRPr="00B415E3">
              <w:t>-0,49</w:t>
            </w:r>
          </w:p>
          <w:p w14:paraId="1DCB189E" w14:textId="77777777" w:rsidR="0021652D" w:rsidRPr="00B415E3" w:rsidRDefault="001B2301">
            <w:pPr>
              <w:spacing w:before="0"/>
              <w:jc w:val="right"/>
            </w:pPr>
            <w:r w:rsidRPr="00B415E3">
              <w:t>-0,40</w:t>
            </w:r>
          </w:p>
        </w:tc>
        <w:tc>
          <w:tcPr>
            <w:tcW w:w="784" w:type="dxa"/>
            <w:tcBorders>
              <w:top w:val="single" w:sz="4" w:space="0" w:color="000000"/>
              <w:left w:val="nil"/>
              <w:bottom w:val="nil"/>
              <w:right w:val="nil"/>
            </w:tcBorders>
          </w:tcPr>
          <w:p w14:paraId="137C33ED" w14:textId="77777777" w:rsidR="0021652D" w:rsidRPr="00B415E3" w:rsidRDefault="001B2301">
            <w:pPr>
              <w:spacing w:before="0"/>
              <w:jc w:val="right"/>
            </w:pPr>
            <w:r w:rsidRPr="00B415E3">
              <w:t>0.49</w:t>
            </w:r>
          </w:p>
          <w:p w14:paraId="1EE0CC5D" w14:textId="77777777" w:rsidR="0021652D" w:rsidRPr="00B415E3" w:rsidRDefault="001B2301">
            <w:pPr>
              <w:spacing w:before="0"/>
              <w:jc w:val="right"/>
            </w:pPr>
            <w:r w:rsidRPr="00B415E3">
              <w:t>0.60</w:t>
            </w:r>
          </w:p>
          <w:p w14:paraId="310CC748" w14:textId="77777777" w:rsidR="0021652D" w:rsidRPr="00B415E3" w:rsidRDefault="001B2301">
            <w:pPr>
              <w:spacing w:before="0"/>
              <w:jc w:val="right"/>
            </w:pPr>
            <w:r w:rsidRPr="00B415E3">
              <w:t>0.58</w:t>
            </w:r>
          </w:p>
        </w:tc>
        <w:tc>
          <w:tcPr>
            <w:tcW w:w="784" w:type="dxa"/>
            <w:tcBorders>
              <w:top w:val="single" w:sz="4" w:space="0" w:color="000000"/>
              <w:left w:val="nil"/>
              <w:bottom w:val="nil"/>
              <w:right w:val="nil"/>
            </w:tcBorders>
          </w:tcPr>
          <w:p w14:paraId="5245D12C" w14:textId="77777777" w:rsidR="0021652D" w:rsidRPr="00B415E3" w:rsidRDefault="001B2301">
            <w:pPr>
              <w:spacing w:before="0"/>
              <w:jc w:val="right"/>
            </w:pPr>
            <w:r w:rsidRPr="00B415E3">
              <w:t>0,53</w:t>
            </w:r>
          </w:p>
          <w:p w14:paraId="5B7671C7" w14:textId="77777777" w:rsidR="0021652D" w:rsidRPr="00B415E3" w:rsidRDefault="001B2301">
            <w:pPr>
              <w:spacing w:before="0"/>
              <w:jc w:val="right"/>
            </w:pPr>
            <w:r w:rsidRPr="00B415E3">
              <w:t>0,51</w:t>
            </w:r>
          </w:p>
          <w:p w14:paraId="69F7D59A" w14:textId="77777777" w:rsidR="0021652D" w:rsidRPr="00B415E3" w:rsidRDefault="001B2301">
            <w:pPr>
              <w:spacing w:before="0"/>
              <w:jc w:val="right"/>
            </w:pPr>
            <w:r w:rsidRPr="00B415E3">
              <w:t>0,56</w:t>
            </w:r>
          </w:p>
        </w:tc>
        <w:tc>
          <w:tcPr>
            <w:tcW w:w="784" w:type="dxa"/>
            <w:tcBorders>
              <w:top w:val="single" w:sz="4" w:space="0" w:color="000000"/>
              <w:left w:val="nil"/>
              <w:bottom w:val="nil"/>
              <w:right w:val="nil"/>
            </w:tcBorders>
          </w:tcPr>
          <w:p w14:paraId="63CA6DE1" w14:textId="77777777" w:rsidR="0021652D" w:rsidRPr="00B415E3" w:rsidRDefault="001B2301">
            <w:pPr>
              <w:spacing w:before="0"/>
              <w:jc w:val="right"/>
            </w:pPr>
            <w:r w:rsidRPr="00B415E3">
              <w:t>0,67</w:t>
            </w:r>
          </w:p>
          <w:p w14:paraId="67E63105" w14:textId="77777777" w:rsidR="0021652D" w:rsidRPr="00B415E3" w:rsidRDefault="001B2301">
            <w:pPr>
              <w:spacing w:before="0"/>
              <w:jc w:val="right"/>
            </w:pPr>
            <w:r w:rsidRPr="00B415E3">
              <w:t>0,77</w:t>
            </w:r>
          </w:p>
          <w:p w14:paraId="04F37652" w14:textId="77777777" w:rsidR="0021652D" w:rsidRPr="00B415E3" w:rsidRDefault="001B2301">
            <w:pPr>
              <w:spacing w:before="0"/>
              <w:jc w:val="right"/>
            </w:pPr>
            <w:r w:rsidRPr="00B415E3">
              <w:t>0,69</w:t>
            </w:r>
          </w:p>
        </w:tc>
        <w:tc>
          <w:tcPr>
            <w:tcW w:w="784" w:type="dxa"/>
            <w:tcBorders>
              <w:top w:val="single" w:sz="4" w:space="0" w:color="000000"/>
              <w:left w:val="nil"/>
              <w:bottom w:val="nil"/>
              <w:right w:val="nil"/>
            </w:tcBorders>
          </w:tcPr>
          <w:p w14:paraId="0B0ED1AD" w14:textId="77777777" w:rsidR="0021652D" w:rsidRPr="00B415E3" w:rsidRDefault="001B2301">
            <w:pPr>
              <w:spacing w:before="0"/>
              <w:jc w:val="right"/>
            </w:pPr>
            <w:r w:rsidRPr="00B415E3">
              <w:t>0.42</w:t>
            </w:r>
          </w:p>
          <w:p w14:paraId="528EA1EE" w14:textId="77777777" w:rsidR="0021652D" w:rsidRPr="00B415E3" w:rsidRDefault="001B2301">
            <w:pPr>
              <w:spacing w:before="0"/>
              <w:jc w:val="right"/>
            </w:pPr>
            <w:r w:rsidRPr="00B415E3">
              <w:t>0.49</w:t>
            </w:r>
          </w:p>
          <w:p w14:paraId="44E6F742" w14:textId="77777777" w:rsidR="0021652D" w:rsidRPr="00B415E3" w:rsidRDefault="001B2301">
            <w:pPr>
              <w:spacing w:before="0"/>
              <w:jc w:val="right"/>
            </w:pPr>
            <w:r w:rsidRPr="00B415E3">
              <w:t>0.50</w:t>
            </w:r>
          </w:p>
        </w:tc>
        <w:tc>
          <w:tcPr>
            <w:tcW w:w="784" w:type="dxa"/>
            <w:tcBorders>
              <w:top w:val="single" w:sz="4" w:space="0" w:color="000000"/>
              <w:left w:val="nil"/>
              <w:bottom w:val="nil"/>
              <w:right w:val="nil"/>
            </w:tcBorders>
          </w:tcPr>
          <w:p w14:paraId="6BA889F9" w14:textId="77777777" w:rsidR="0021652D" w:rsidRPr="00B415E3" w:rsidRDefault="001B2301">
            <w:pPr>
              <w:spacing w:before="0"/>
              <w:jc w:val="right"/>
            </w:pPr>
            <w:r w:rsidRPr="00B415E3">
              <w:t>0,50</w:t>
            </w:r>
          </w:p>
          <w:p w14:paraId="3BC1FDFC" w14:textId="77777777" w:rsidR="0021652D" w:rsidRPr="00B415E3" w:rsidRDefault="001B2301">
            <w:pPr>
              <w:spacing w:before="0"/>
              <w:jc w:val="right"/>
            </w:pPr>
            <w:r w:rsidRPr="00B415E3">
              <w:t>0,56</w:t>
            </w:r>
          </w:p>
          <w:p w14:paraId="1C396F03" w14:textId="77777777" w:rsidR="0021652D" w:rsidRPr="00B415E3" w:rsidRDefault="001B2301">
            <w:pPr>
              <w:spacing w:before="0"/>
              <w:jc w:val="right"/>
            </w:pPr>
            <w:r w:rsidRPr="00B415E3">
              <w:t>0,51</w:t>
            </w:r>
          </w:p>
        </w:tc>
      </w:tr>
      <w:tr w:rsidR="00B415E3" w:rsidRPr="00B415E3" w14:paraId="1478B747" w14:textId="77777777">
        <w:tc>
          <w:tcPr>
            <w:tcW w:w="820" w:type="dxa"/>
            <w:tcBorders>
              <w:top w:val="nil"/>
              <w:left w:val="nil"/>
              <w:bottom w:val="nil"/>
              <w:right w:val="single" w:sz="4" w:space="0" w:color="000000"/>
            </w:tcBorders>
          </w:tcPr>
          <w:p w14:paraId="444219B8" w14:textId="77777777" w:rsidR="0021652D" w:rsidRPr="00B415E3" w:rsidRDefault="001B2301">
            <w:pPr>
              <w:spacing w:before="0"/>
            </w:pPr>
            <w:r w:rsidRPr="00B415E3">
              <w:t>UC1</w:t>
            </w:r>
          </w:p>
          <w:p w14:paraId="36E17446" w14:textId="77777777" w:rsidR="0021652D" w:rsidRPr="00B415E3" w:rsidRDefault="001B2301">
            <w:pPr>
              <w:spacing w:before="0"/>
            </w:pPr>
            <w:r w:rsidRPr="00B415E3">
              <w:t>UC2</w:t>
            </w:r>
          </w:p>
          <w:p w14:paraId="02365F66" w14:textId="77777777" w:rsidR="0021652D" w:rsidRPr="00B415E3" w:rsidRDefault="001B2301">
            <w:pPr>
              <w:spacing w:before="0"/>
            </w:pPr>
            <w:r w:rsidRPr="00B415E3">
              <w:t>UC3</w:t>
            </w:r>
          </w:p>
        </w:tc>
        <w:tc>
          <w:tcPr>
            <w:tcW w:w="699" w:type="dxa"/>
            <w:tcBorders>
              <w:top w:val="nil"/>
              <w:left w:val="single" w:sz="4" w:space="0" w:color="000000"/>
              <w:bottom w:val="nil"/>
              <w:right w:val="nil"/>
            </w:tcBorders>
          </w:tcPr>
          <w:p w14:paraId="7AF687D8" w14:textId="77777777" w:rsidR="0021652D" w:rsidRPr="00B415E3" w:rsidRDefault="001B2301">
            <w:pPr>
              <w:spacing w:before="0"/>
              <w:jc w:val="right"/>
            </w:pPr>
            <w:r w:rsidRPr="00B415E3">
              <w:t>2.62</w:t>
            </w:r>
          </w:p>
          <w:p w14:paraId="5EC667B9" w14:textId="77777777" w:rsidR="0021652D" w:rsidRPr="00B415E3" w:rsidRDefault="001B2301">
            <w:pPr>
              <w:spacing w:before="0"/>
              <w:jc w:val="right"/>
            </w:pPr>
            <w:r w:rsidRPr="00B415E3">
              <w:t>2.88</w:t>
            </w:r>
          </w:p>
          <w:p w14:paraId="7C861785" w14:textId="77777777" w:rsidR="0021652D" w:rsidRPr="00B415E3" w:rsidRDefault="001B2301">
            <w:pPr>
              <w:spacing w:before="0"/>
              <w:jc w:val="right"/>
            </w:pPr>
            <w:r w:rsidRPr="00B415E3">
              <w:t>1.41</w:t>
            </w:r>
          </w:p>
        </w:tc>
        <w:tc>
          <w:tcPr>
            <w:tcW w:w="785" w:type="dxa"/>
            <w:tcBorders>
              <w:top w:val="nil"/>
              <w:left w:val="nil"/>
              <w:bottom w:val="nil"/>
              <w:right w:val="nil"/>
            </w:tcBorders>
          </w:tcPr>
          <w:p w14:paraId="3F413810" w14:textId="77777777" w:rsidR="0021652D" w:rsidRPr="00B415E3" w:rsidRDefault="001B2301">
            <w:pPr>
              <w:spacing w:before="0"/>
              <w:jc w:val="right"/>
            </w:pPr>
            <w:r w:rsidRPr="00B415E3">
              <w:t>-0,29</w:t>
            </w:r>
          </w:p>
          <w:p w14:paraId="44108345" w14:textId="77777777" w:rsidR="0021652D" w:rsidRPr="00B415E3" w:rsidRDefault="001B2301">
            <w:pPr>
              <w:spacing w:before="0"/>
              <w:jc w:val="right"/>
            </w:pPr>
            <w:r w:rsidRPr="00B415E3">
              <w:t>-0,36</w:t>
            </w:r>
          </w:p>
          <w:p w14:paraId="4888D684" w14:textId="77777777" w:rsidR="0021652D" w:rsidRPr="00B415E3" w:rsidRDefault="001B2301">
            <w:pPr>
              <w:spacing w:before="0"/>
              <w:jc w:val="right"/>
            </w:pPr>
            <w:r w:rsidRPr="00B415E3">
              <w:t>-0,21</w:t>
            </w:r>
          </w:p>
        </w:tc>
        <w:tc>
          <w:tcPr>
            <w:tcW w:w="785" w:type="dxa"/>
            <w:tcBorders>
              <w:top w:val="nil"/>
              <w:left w:val="nil"/>
              <w:bottom w:val="nil"/>
              <w:right w:val="nil"/>
            </w:tcBorders>
          </w:tcPr>
          <w:p w14:paraId="449A67BC" w14:textId="77777777" w:rsidR="0021652D" w:rsidRPr="00B415E3" w:rsidRDefault="001B2301">
            <w:pPr>
              <w:spacing w:before="0"/>
              <w:jc w:val="right"/>
              <w:rPr>
                <w:b/>
              </w:rPr>
            </w:pPr>
            <w:r w:rsidRPr="00B415E3">
              <w:rPr>
                <w:b/>
              </w:rPr>
              <w:t>0,90</w:t>
            </w:r>
          </w:p>
          <w:p w14:paraId="728A72B5" w14:textId="77777777" w:rsidR="0021652D" w:rsidRPr="00B415E3" w:rsidRDefault="001B2301">
            <w:pPr>
              <w:spacing w:before="0"/>
              <w:jc w:val="right"/>
              <w:rPr>
                <w:b/>
              </w:rPr>
            </w:pPr>
            <w:r w:rsidRPr="00B415E3">
              <w:rPr>
                <w:b/>
              </w:rPr>
              <w:t>0,93</w:t>
            </w:r>
          </w:p>
          <w:p w14:paraId="445F7AAC" w14:textId="77777777" w:rsidR="0021652D" w:rsidRPr="00B415E3" w:rsidRDefault="001B2301">
            <w:pPr>
              <w:spacing w:before="0"/>
              <w:jc w:val="right"/>
            </w:pPr>
            <w:r w:rsidRPr="00B415E3">
              <w:rPr>
                <w:b/>
              </w:rPr>
              <w:t>0,72</w:t>
            </w:r>
          </w:p>
        </w:tc>
        <w:tc>
          <w:tcPr>
            <w:tcW w:w="784" w:type="dxa"/>
            <w:tcBorders>
              <w:top w:val="nil"/>
              <w:left w:val="nil"/>
              <w:bottom w:val="nil"/>
              <w:right w:val="nil"/>
            </w:tcBorders>
          </w:tcPr>
          <w:p w14:paraId="1DF1E823" w14:textId="77777777" w:rsidR="0021652D" w:rsidRPr="00B415E3" w:rsidRDefault="001B2301">
            <w:pPr>
              <w:spacing w:before="0"/>
              <w:jc w:val="right"/>
            </w:pPr>
            <w:r w:rsidRPr="00B415E3">
              <w:t>0,36</w:t>
            </w:r>
          </w:p>
          <w:p w14:paraId="64633D69" w14:textId="77777777" w:rsidR="0021652D" w:rsidRPr="00B415E3" w:rsidRDefault="001B2301">
            <w:pPr>
              <w:spacing w:before="0"/>
              <w:jc w:val="right"/>
            </w:pPr>
            <w:r w:rsidRPr="00B415E3">
              <w:t>0,34</w:t>
            </w:r>
          </w:p>
          <w:p w14:paraId="4E37D5E9" w14:textId="77777777" w:rsidR="0021652D" w:rsidRPr="00B415E3" w:rsidRDefault="001B2301">
            <w:pPr>
              <w:spacing w:before="0"/>
              <w:jc w:val="right"/>
            </w:pPr>
            <w:r w:rsidRPr="00B415E3">
              <w:t>0,23</w:t>
            </w:r>
          </w:p>
        </w:tc>
        <w:tc>
          <w:tcPr>
            <w:tcW w:w="784" w:type="dxa"/>
            <w:tcBorders>
              <w:top w:val="nil"/>
              <w:left w:val="nil"/>
              <w:bottom w:val="nil"/>
              <w:right w:val="nil"/>
            </w:tcBorders>
          </w:tcPr>
          <w:p w14:paraId="4F1633A5" w14:textId="77777777" w:rsidR="0021652D" w:rsidRPr="00B415E3" w:rsidRDefault="001B2301">
            <w:pPr>
              <w:spacing w:before="0"/>
              <w:jc w:val="right"/>
            </w:pPr>
            <w:r w:rsidRPr="00B415E3">
              <w:t>-0.36</w:t>
            </w:r>
          </w:p>
          <w:p w14:paraId="21C81F47" w14:textId="77777777" w:rsidR="0021652D" w:rsidRPr="00B415E3" w:rsidRDefault="001B2301">
            <w:pPr>
              <w:spacing w:before="0"/>
              <w:jc w:val="right"/>
            </w:pPr>
            <w:r w:rsidRPr="00B415E3">
              <w:t>-0.41</w:t>
            </w:r>
          </w:p>
          <w:p w14:paraId="1564B492" w14:textId="77777777" w:rsidR="0021652D" w:rsidRPr="00B415E3" w:rsidRDefault="001B2301">
            <w:pPr>
              <w:spacing w:before="0"/>
              <w:jc w:val="right"/>
            </w:pPr>
            <w:r w:rsidRPr="00B415E3">
              <w:t>-0.33</w:t>
            </w:r>
          </w:p>
        </w:tc>
        <w:tc>
          <w:tcPr>
            <w:tcW w:w="784" w:type="dxa"/>
            <w:tcBorders>
              <w:top w:val="nil"/>
              <w:left w:val="nil"/>
              <w:bottom w:val="nil"/>
              <w:right w:val="nil"/>
            </w:tcBorders>
          </w:tcPr>
          <w:p w14:paraId="53700D58" w14:textId="77777777" w:rsidR="0021652D" w:rsidRPr="00B415E3" w:rsidRDefault="001B2301">
            <w:pPr>
              <w:spacing w:before="0"/>
              <w:jc w:val="right"/>
            </w:pPr>
            <w:r w:rsidRPr="00B415E3">
              <w:t>-0,49</w:t>
            </w:r>
          </w:p>
          <w:p w14:paraId="0CBCCDAD" w14:textId="77777777" w:rsidR="0021652D" w:rsidRPr="00B415E3" w:rsidRDefault="001B2301">
            <w:pPr>
              <w:spacing w:before="0"/>
              <w:jc w:val="right"/>
            </w:pPr>
            <w:r w:rsidRPr="00B415E3">
              <w:t>-0,53</w:t>
            </w:r>
          </w:p>
          <w:p w14:paraId="422B1E1E" w14:textId="77777777" w:rsidR="0021652D" w:rsidRPr="00B415E3" w:rsidRDefault="001B2301">
            <w:pPr>
              <w:spacing w:before="0"/>
              <w:jc w:val="right"/>
            </w:pPr>
            <w:r w:rsidRPr="00B415E3">
              <w:t>-0,33</w:t>
            </w:r>
          </w:p>
        </w:tc>
        <w:tc>
          <w:tcPr>
            <w:tcW w:w="784" w:type="dxa"/>
            <w:tcBorders>
              <w:top w:val="nil"/>
              <w:left w:val="nil"/>
              <w:bottom w:val="nil"/>
              <w:right w:val="nil"/>
            </w:tcBorders>
          </w:tcPr>
          <w:p w14:paraId="0B2F4E8D" w14:textId="77777777" w:rsidR="0021652D" w:rsidRPr="00B415E3" w:rsidRDefault="001B2301">
            <w:pPr>
              <w:spacing w:before="0"/>
              <w:jc w:val="right"/>
            </w:pPr>
            <w:r w:rsidRPr="00B415E3">
              <w:t>-0,40</w:t>
            </w:r>
          </w:p>
          <w:p w14:paraId="30E52F0C" w14:textId="77777777" w:rsidR="0021652D" w:rsidRPr="00B415E3" w:rsidRDefault="001B2301">
            <w:pPr>
              <w:spacing w:before="0"/>
              <w:jc w:val="right"/>
            </w:pPr>
            <w:r w:rsidRPr="00B415E3">
              <w:t>-0,43</w:t>
            </w:r>
          </w:p>
          <w:p w14:paraId="634A9F32" w14:textId="77777777" w:rsidR="0021652D" w:rsidRPr="00B415E3" w:rsidRDefault="001B2301">
            <w:pPr>
              <w:spacing w:before="0"/>
              <w:jc w:val="right"/>
            </w:pPr>
            <w:r w:rsidRPr="00B415E3">
              <w:t>-0,28</w:t>
            </w:r>
          </w:p>
        </w:tc>
        <w:tc>
          <w:tcPr>
            <w:tcW w:w="784" w:type="dxa"/>
            <w:tcBorders>
              <w:top w:val="nil"/>
              <w:left w:val="nil"/>
              <w:bottom w:val="nil"/>
              <w:right w:val="nil"/>
            </w:tcBorders>
          </w:tcPr>
          <w:p w14:paraId="40CA3813" w14:textId="77777777" w:rsidR="0021652D" w:rsidRPr="00B415E3" w:rsidRDefault="001B2301">
            <w:pPr>
              <w:spacing w:before="0"/>
              <w:jc w:val="right"/>
            </w:pPr>
            <w:r w:rsidRPr="00B415E3">
              <w:t>-0.31</w:t>
            </w:r>
          </w:p>
          <w:p w14:paraId="28D614DC" w14:textId="77777777" w:rsidR="0021652D" w:rsidRPr="00B415E3" w:rsidRDefault="001B2301">
            <w:pPr>
              <w:spacing w:before="0"/>
              <w:jc w:val="right"/>
            </w:pPr>
            <w:r w:rsidRPr="00B415E3">
              <w:t>-0.32</w:t>
            </w:r>
          </w:p>
          <w:p w14:paraId="37EAFB3D" w14:textId="77777777" w:rsidR="0021652D" w:rsidRPr="00B415E3" w:rsidRDefault="001B2301">
            <w:pPr>
              <w:spacing w:before="0"/>
              <w:jc w:val="right"/>
            </w:pPr>
            <w:r w:rsidRPr="00B415E3">
              <w:t>-0.20</w:t>
            </w:r>
          </w:p>
        </w:tc>
        <w:tc>
          <w:tcPr>
            <w:tcW w:w="784" w:type="dxa"/>
            <w:tcBorders>
              <w:top w:val="nil"/>
              <w:left w:val="nil"/>
              <w:bottom w:val="nil"/>
              <w:right w:val="nil"/>
            </w:tcBorders>
          </w:tcPr>
          <w:p w14:paraId="4CB5194B" w14:textId="77777777" w:rsidR="0021652D" w:rsidRPr="00B415E3" w:rsidRDefault="001B2301">
            <w:pPr>
              <w:spacing w:before="0"/>
              <w:jc w:val="right"/>
            </w:pPr>
            <w:r w:rsidRPr="00B415E3">
              <w:t>-0,35</w:t>
            </w:r>
          </w:p>
          <w:p w14:paraId="5A982CAF" w14:textId="77777777" w:rsidR="0021652D" w:rsidRPr="00B415E3" w:rsidRDefault="001B2301">
            <w:pPr>
              <w:spacing w:before="0"/>
              <w:jc w:val="right"/>
            </w:pPr>
            <w:r w:rsidRPr="00B415E3">
              <w:t>-0,38</w:t>
            </w:r>
          </w:p>
          <w:p w14:paraId="1AF718A2" w14:textId="77777777" w:rsidR="0021652D" w:rsidRPr="00B415E3" w:rsidRDefault="001B2301">
            <w:pPr>
              <w:spacing w:before="0"/>
              <w:jc w:val="right"/>
            </w:pPr>
            <w:r w:rsidRPr="00B415E3">
              <w:t>-0,35</w:t>
            </w:r>
          </w:p>
        </w:tc>
      </w:tr>
      <w:tr w:rsidR="00B415E3" w:rsidRPr="00B415E3" w14:paraId="75261A04" w14:textId="77777777">
        <w:tc>
          <w:tcPr>
            <w:tcW w:w="820" w:type="dxa"/>
            <w:tcBorders>
              <w:top w:val="nil"/>
              <w:left w:val="nil"/>
              <w:bottom w:val="nil"/>
              <w:right w:val="single" w:sz="4" w:space="0" w:color="000000"/>
            </w:tcBorders>
          </w:tcPr>
          <w:p w14:paraId="761BC9A6" w14:textId="77777777" w:rsidR="0021652D" w:rsidRPr="00B415E3" w:rsidRDefault="001B2301">
            <w:pPr>
              <w:spacing w:before="0"/>
            </w:pPr>
            <w:r w:rsidRPr="00B415E3">
              <w:t>DI1</w:t>
            </w:r>
          </w:p>
          <w:p w14:paraId="2313E19D" w14:textId="77777777" w:rsidR="0021652D" w:rsidRPr="00B415E3" w:rsidRDefault="001B2301">
            <w:pPr>
              <w:spacing w:before="0"/>
            </w:pPr>
            <w:r w:rsidRPr="00B415E3">
              <w:t>DI2</w:t>
            </w:r>
          </w:p>
          <w:p w14:paraId="4CC304B3" w14:textId="77777777" w:rsidR="0021652D" w:rsidRPr="00B415E3" w:rsidRDefault="001B2301">
            <w:pPr>
              <w:spacing w:before="0"/>
            </w:pPr>
            <w:r w:rsidRPr="00B415E3">
              <w:t>DI3</w:t>
            </w:r>
          </w:p>
        </w:tc>
        <w:tc>
          <w:tcPr>
            <w:tcW w:w="699" w:type="dxa"/>
            <w:tcBorders>
              <w:top w:val="nil"/>
              <w:left w:val="single" w:sz="4" w:space="0" w:color="000000"/>
              <w:bottom w:val="nil"/>
              <w:right w:val="nil"/>
            </w:tcBorders>
          </w:tcPr>
          <w:p w14:paraId="7098177F" w14:textId="77777777" w:rsidR="0021652D" w:rsidRPr="00B415E3" w:rsidRDefault="001B2301">
            <w:pPr>
              <w:spacing w:before="0"/>
              <w:jc w:val="right"/>
            </w:pPr>
            <w:r w:rsidRPr="00B415E3">
              <w:t>2.05</w:t>
            </w:r>
          </w:p>
          <w:p w14:paraId="15CA667D" w14:textId="77777777" w:rsidR="0021652D" w:rsidRPr="00B415E3" w:rsidRDefault="001B2301">
            <w:pPr>
              <w:spacing w:before="0"/>
              <w:jc w:val="right"/>
            </w:pPr>
            <w:r w:rsidRPr="00B415E3">
              <w:t>2.69</w:t>
            </w:r>
          </w:p>
          <w:p w14:paraId="10CA8CEC" w14:textId="77777777" w:rsidR="0021652D" w:rsidRPr="00B415E3" w:rsidRDefault="001B2301">
            <w:pPr>
              <w:spacing w:before="0"/>
              <w:jc w:val="right"/>
            </w:pPr>
            <w:r w:rsidRPr="00B415E3">
              <w:t>2.54</w:t>
            </w:r>
          </w:p>
        </w:tc>
        <w:tc>
          <w:tcPr>
            <w:tcW w:w="785" w:type="dxa"/>
            <w:tcBorders>
              <w:top w:val="nil"/>
              <w:left w:val="nil"/>
              <w:bottom w:val="nil"/>
              <w:right w:val="nil"/>
            </w:tcBorders>
          </w:tcPr>
          <w:p w14:paraId="458D0676" w14:textId="77777777" w:rsidR="0021652D" w:rsidRPr="00B415E3" w:rsidRDefault="001B2301">
            <w:pPr>
              <w:spacing w:before="0"/>
              <w:jc w:val="right"/>
            </w:pPr>
            <w:r w:rsidRPr="00B415E3">
              <w:t>-0,41</w:t>
            </w:r>
          </w:p>
          <w:p w14:paraId="4E3DB6B5" w14:textId="77777777" w:rsidR="0021652D" w:rsidRPr="00B415E3" w:rsidRDefault="001B2301">
            <w:pPr>
              <w:spacing w:before="0"/>
              <w:jc w:val="right"/>
            </w:pPr>
            <w:r w:rsidRPr="00B415E3">
              <w:t>-0,42</w:t>
            </w:r>
          </w:p>
          <w:p w14:paraId="30970F6D" w14:textId="77777777" w:rsidR="0021652D" w:rsidRPr="00B415E3" w:rsidRDefault="001B2301">
            <w:pPr>
              <w:spacing w:before="0"/>
              <w:jc w:val="right"/>
            </w:pPr>
            <w:r w:rsidRPr="00B415E3">
              <w:t>-0,45</w:t>
            </w:r>
          </w:p>
        </w:tc>
        <w:tc>
          <w:tcPr>
            <w:tcW w:w="785" w:type="dxa"/>
            <w:tcBorders>
              <w:top w:val="nil"/>
              <w:left w:val="nil"/>
              <w:bottom w:val="nil"/>
              <w:right w:val="nil"/>
            </w:tcBorders>
          </w:tcPr>
          <w:p w14:paraId="2E37A1FD" w14:textId="77777777" w:rsidR="0021652D" w:rsidRPr="00B415E3" w:rsidRDefault="001B2301">
            <w:pPr>
              <w:spacing w:before="0"/>
              <w:jc w:val="right"/>
            </w:pPr>
            <w:r w:rsidRPr="00B415E3">
              <w:t>0,31</w:t>
            </w:r>
          </w:p>
          <w:p w14:paraId="274E3523" w14:textId="77777777" w:rsidR="0021652D" w:rsidRPr="00B415E3" w:rsidRDefault="001B2301">
            <w:pPr>
              <w:spacing w:before="0"/>
              <w:jc w:val="right"/>
            </w:pPr>
            <w:r w:rsidRPr="00B415E3">
              <w:t>0,35</w:t>
            </w:r>
          </w:p>
          <w:p w14:paraId="7E594B77" w14:textId="77777777" w:rsidR="0021652D" w:rsidRPr="00B415E3" w:rsidRDefault="001B2301">
            <w:pPr>
              <w:spacing w:before="0"/>
              <w:jc w:val="right"/>
            </w:pPr>
            <w:r w:rsidRPr="00B415E3">
              <w:t>0,32</w:t>
            </w:r>
          </w:p>
        </w:tc>
        <w:tc>
          <w:tcPr>
            <w:tcW w:w="784" w:type="dxa"/>
            <w:tcBorders>
              <w:top w:val="nil"/>
              <w:left w:val="nil"/>
              <w:bottom w:val="nil"/>
              <w:right w:val="nil"/>
            </w:tcBorders>
          </w:tcPr>
          <w:p w14:paraId="42B10692" w14:textId="77777777" w:rsidR="0021652D" w:rsidRPr="00B415E3" w:rsidRDefault="001B2301">
            <w:pPr>
              <w:spacing w:before="0"/>
              <w:jc w:val="right"/>
              <w:rPr>
                <w:b/>
              </w:rPr>
            </w:pPr>
            <w:r w:rsidRPr="00B415E3">
              <w:rPr>
                <w:b/>
              </w:rPr>
              <w:t>0,87</w:t>
            </w:r>
          </w:p>
          <w:p w14:paraId="1C55F013" w14:textId="77777777" w:rsidR="0021652D" w:rsidRPr="00B415E3" w:rsidRDefault="001B2301">
            <w:pPr>
              <w:spacing w:before="0"/>
              <w:jc w:val="right"/>
              <w:rPr>
                <w:b/>
              </w:rPr>
            </w:pPr>
            <w:r w:rsidRPr="00B415E3">
              <w:rPr>
                <w:b/>
              </w:rPr>
              <w:t>0,91</w:t>
            </w:r>
          </w:p>
          <w:p w14:paraId="27E7C4FF" w14:textId="77777777" w:rsidR="0021652D" w:rsidRPr="00B415E3" w:rsidRDefault="001B2301">
            <w:pPr>
              <w:spacing w:before="0"/>
              <w:jc w:val="right"/>
            </w:pPr>
            <w:r w:rsidRPr="00B415E3">
              <w:rPr>
                <w:b/>
              </w:rPr>
              <w:t>0,90</w:t>
            </w:r>
          </w:p>
        </w:tc>
        <w:tc>
          <w:tcPr>
            <w:tcW w:w="784" w:type="dxa"/>
            <w:tcBorders>
              <w:top w:val="nil"/>
              <w:left w:val="nil"/>
              <w:bottom w:val="nil"/>
              <w:right w:val="nil"/>
            </w:tcBorders>
          </w:tcPr>
          <w:p w14:paraId="017D380B" w14:textId="77777777" w:rsidR="0021652D" w:rsidRPr="00B415E3" w:rsidRDefault="001B2301">
            <w:pPr>
              <w:spacing w:before="0"/>
              <w:jc w:val="right"/>
            </w:pPr>
            <w:r w:rsidRPr="00B415E3">
              <w:t>-0,35</w:t>
            </w:r>
          </w:p>
          <w:p w14:paraId="3BDBA376" w14:textId="77777777" w:rsidR="0021652D" w:rsidRPr="00B415E3" w:rsidRDefault="001B2301">
            <w:pPr>
              <w:spacing w:before="0"/>
              <w:jc w:val="right"/>
            </w:pPr>
            <w:r w:rsidRPr="00B415E3">
              <w:t>-0,37</w:t>
            </w:r>
          </w:p>
          <w:p w14:paraId="741AB8D0" w14:textId="77777777" w:rsidR="0021652D" w:rsidRPr="00B415E3" w:rsidRDefault="001B2301">
            <w:pPr>
              <w:spacing w:before="0"/>
              <w:jc w:val="right"/>
            </w:pPr>
            <w:r w:rsidRPr="00B415E3">
              <w:t>-0,38</w:t>
            </w:r>
          </w:p>
        </w:tc>
        <w:tc>
          <w:tcPr>
            <w:tcW w:w="784" w:type="dxa"/>
            <w:tcBorders>
              <w:top w:val="nil"/>
              <w:left w:val="nil"/>
              <w:bottom w:val="nil"/>
              <w:right w:val="nil"/>
            </w:tcBorders>
          </w:tcPr>
          <w:p w14:paraId="4030EBCA" w14:textId="77777777" w:rsidR="0021652D" w:rsidRPr="00B415E3" w:rsidRDefault="001B2301">
            <w:pPr>
              <w:spacing w:before="0"/>
              <w:jc w:val="right"/>
            </w:pPr>
            <w:r w:rsidRPr="00B415E3">
              <w:t>-0,34</w:t>
            </w:r>
          </w:p>
          <w:p w14:paraId="2FD27156" w14:textId="77777777" w:rsidR="0021652D" w:rsidRPr="00B415E3" w:rsidRDefault="001B2301">
            <w:pPr>
              <w:spacing w:before="0"/>
              <w:jc w:val="right"/>
            </w:pPr>
            <w:r w:rsidRPr="00B415E3">
              <w:t>-0,40</w:t>
            </w:r>
          </w:p>
          <w:p w14:paraId="3752B8A0" w14:textId="77777777" w:rsidR="0021652D" w:rsidRPr="00B415E3" w:rsidRDefault="001B2301">
            <w:pPr>
              <w:spacing w:before="0"/>
              <w:jc w:val="right"/>
            </w:pPr>
            <w:r w:rsidRPr="00B415E3">
              <w:t>-0,36</w:t>
            </w:r>
          </w:p>
        </w:tc>
        <w:tc>
          <w:tcPr>
            <w:tcW w:w="784" w:type="dxa"/>
            <w:tcBorders>
              <w:top w:val="nil"/>
              <w:left w:val="nil"/>
              <w:bottom w:val="nil"/>
              <w:right w:val="nil"/>
            </w:tcBorders>
          </w:tcPr>
          <w:p w14:paraId="7B81976E" w14:textId="77777777" w:rsidR="0021652D" w:rsidRPr="00B415E3" w:rsidRDefault="001B2301">
            <w:pPr>
              <w:spacing w:before="0"/>
              <w:jc w:val="right"/>
            </w:pPr>
            <w:r w:rsidRPr="00B415E3">
              <w:t>-0,54</w:t>
            </w:r>
          </w:p>
          <w:p w14:paraId="359B57D7" w14:textId="77777777" w:rsidR="0021652D" w:rsidRPr="00B415E3" w:rsidRDefault="001B2301">
            <w:pPr>
              <w:spacing w:before="0"/>
              <w:jc w:val="right"/>
            </w:pPr>
            <w:r w:rsidRPr="00B415E3">
              <w:t>-0,51</w:t>
            </w:r>
          </w:p>
          <w:p w14:paraId="238596C5" w14:textId="77777777" w:rsidR="0021652D" w:rsidRPr="00B415E3" w:rsidRDefault="001B2301">
            <w:pPr>
              <w:spacing w:before="0"/>
              <w:jc w:val="right"/>
            </w:pPr>
            <w:r w:rsidRPr="00B415E3">
              <w:t>-0,58</w:t>
            </w:r>
          </w:p>
        </w:tc>
        <w:tc>
          <w:tcPr>
            <w:tcW w:w="784" w:type="dxa"/>
            <w:tcBorders>
              <w:top w:val="nil"/>
              <w:left w:val="nil"/>
              <w:bottom w:val="nil"/>
              <w:right w:val="nil"/>
            </w:tcBorders>
          </w:tcPr>
          <w:p w14:paraId="56F5B7DE" w14:textId="77777777" w:rsidR="0021652D" w:rsidRPr="00B415E3" w:rsidRDefault="001B2301">
            <w:pPr>
              <w:spacing w:before="0"/>
              <w:jc w:val="right"/>
            </w:pPr>
            <w:r w:rsidRPr="00B415E3">
              <w:t>-0.37</w:t>
            </w:r>
          </w:p>
          <w:p w14:paraId="2B9B913F" w14:textId="77777777" w:rsidR="0021652D" w:rsidRPr="00B415E3" w:rsidRDefault="001B2301">
            <w:pPr>
              <w:spacing w:before="0"/>
              <w:jc w:val="right"/>
            </w:pPr>
            <w:r w:rsidRPr="00B415E3">
              <w:t>-0.42</w:t>
            </w:r>
          </w:p>
          <w:p w14:paraId="0A1FF050" w14:textId="77777777" w:rsidR="0021652D" w:rsidRPr="00B415E3" w:rsidRDefault="001B2301">
            <w:pPr>
              <w:spacing w:before="0"/>
              <w:jc w:val="right"/>
            </w:pPr>
            <w:r w:rsidRPr="00B415E3">
              <w:t>-0.41</w:t>
            </w:r>
          </w:p>
        </w:tc>
        <w:tc>
          <w:tcPr>
            <w:tcW w:w="784" w:type="dxa"/>
            <w:tcBorders>
              <w:top w:val="nil"/>
              <w:left w:val="nil"/>
              <w:bottom w:val="nil"/>
              <w:right w:val="nil"/>
            </w:tcBorders>
          </w:tcPr>
          <w:p w14:paraId="0652D90D" w14:textId="77777777" w:rsidR="0021652D" w:rsidRPr="00B415E3" w:rsidRDefault="001B2301">
            <w:pPr>
              <w:spacing w:before="0"/>
              <w:jc w:val="right"/>
            </w:pPr>
            <w:r w:rsidRPr="00B415E3">
              <w:t>-0,40</w:t>
            </w:r>
          </w:p>
          <w:p w14:paraId="335D6CBD" w14:textId="77777777" w:rsidR="0021652D" w:rsidRPr="00B415E3" w:rsidRDefault="001B2301">
            <w:pPr>
              <w:spacing w:before="0"/>
              <w:jc w:val="right"/>
            </w:pPr>
            <w:r w:rsidRPr="00B415E3">
              <w:t>-0,46</w:t>
            </w:r>
          </w:p>
          <w:p w14:paraId="22215E29" w14:textId="77777777" w:rsidR="0021652D" w:rsidRPr="00B415E3" w:rsidRDefault="001B2301">
            <w:pPr>
              <w:spacing w:before="0"/>
              <w:jc w:val="right"/>
            </w:pPr>
            <w:r w:rsidRPr="00B415E3">
              <w:t>-0,44</w:t>
            </w:r>
          </w:p>
        </w:tc>
      </w:tr>
      <w:tr w:rsidR="00B415E3" w:rsidRPr="00B415E3" w14:paraId="30B3918D" w14:textId="77777777">
        <w:tc>
          <w:tcPr>
            <w:tcW w:w="820" w:type="dxa"/>
            <w:tcBorders>
              <w:top w:val="nil"/>
              <w:left w:val="nil"/>
              <w:bottom w:val="nil"/>
              <w:right w:val="single" w:sz="4" w:space="0" w:color="000000"/>
            </w:tcBorders>
          </w:tcPr>
          <w:p w14:paraId="51C10476" w14:textId="77777777" w:rsidR="0021652D" w:rsidRPr="00B415E3" w:rsidRDefault="001B2301">
            <w:pPr>
              <w:spacing w:before="0"/>
            </w:pPr>
            <w:r w:rsidRPr="00B415E3">
              <w:t>DC1</w:t>
            </w:r>
          </w:p>
          <w:p w14:paraId="74D50A31" w14:textId="77777777" w:rsidR="0021652D" w:rsidRPr="00B415E3" w:rsidRDefault="001B2301">
            <w:pPr>
              <w:spacing w:before="0"/>
            </w:pPr>
            <w:r w:rsidRPr="00B415E3">
              <w:t>DC2</w:t>
            </w:r>
          </w:p>
          <w:p w14:paraId="2BF4E626" w14:textId="77777777" w:rsidR="0021652D" w:rsidRPr="00B415E3" w:rsidRDefault="001B2301">
            <w:pPr>
              <w:spacing w:before="0"/>
            </w:pPr>
            <w:r w:rsidRPr="00B415E3">
              <w:t>DC3</w:t>
            </w:r>
          </w:p>
        </w:tc>
        <w:tc>
          <w:tcPr>
            <w:tcW w:w="699" w:type="dxa"/>
            <w:tcBorders>
              <w:top w:val="nil"/>
              <w:left w:val="single" w:sz="4" w:space="0" w:color="000000"/>
              <w:bottom w:val="nil"/>
              <w:right w:val="nil"/>
            </w:tcBorders>
          </w:tcPr>
          <w:p w14:paraId="6D2E0C74" w14:textId="77777777" w:rsidR="0021652D" w:rsidRPr="00B415E3" w:rsidRDefault="001B2301">
            <w:pPr>
              <w:spacing w:before="0"/>
              <w:jc w:val="right"/>
            </w:pPr>
            <w:r w:rsidRPr="00B415E3">
              <w:t>2.20</w:t>
            </w:r>
          </w:p>
          <w:p w14:paraId="1AA0B761" w14:textId="77777777" w:rsidR="0021652D" w:rsidRPr="00B415E3" w:rsidRDefault="001B2301">
            <w:pPr>
              <w:spacing w:before="0"/>
              <w:jc w:val="right"/>
            </w:pPr>
            <w:r w:rsidRPr="00B415E3">
              <w:t>2.22</w:t>
            </w:r>
          </w:p>
          <w:p w14:paraId="22A7B3D2" w14:textId="77777777" w:rsidR="0021652D" w:rsidRPr="00B415E3" w:rsidRDefault="001B2301">
            <w:pPr>
              <w:spacing w:before="0"/>
              <w:jc w:val="right"/>
            </w:pPr>
            <w:r w:rsidRPr="00B415E3">
              <w:t>1.37</w:t>
            </w:r>
          </w:p>
        </w:tc>
        <w:tc>
          <w:tcPr>
            <w:tcW w:w="785" w:type="dxa"/>
            <w:tcBorders>
              <w:top w:val="nil"/>
              <w:left w:val="nil"/>
              <w:bottom w:val="nil"/>
              <w:right w:val="nil"/>
            </w:tcBorders>
          </w:tcPr>
          <w:p w14:paraId="16AA3FE1" w14:textId="77777777" w:rsidR="0021652D" w:rsidRPr="00B415E3" w:rsidRDefault="001B2301">
            <w:pPr>
              <w:spacing w:before="0"/>
              <w:jc w:val="right"/>
            </w:pPr>
            <w:r w:rsidRPr="00B415E3">
              <w:t>0,55</w:t>
            </w:r>
          </w:p>
          <w:p w14:paraId="1C61643F" w14:textId="77777777" w:rsidR="0021652D" w:rsidRPr="00B415E3" w:rsidRDefault="001B2301">
            <w:pPr>
              <w:spacing w:before="0"/>
              <w:jc w:val="right"/>
            </w:pPr>
            <w:r w:rsidRPr="00B415E3">
              <w:t>0,58</w:t>
            </w:r>
          </w:p>
          <w:p w14:paraId="5F4F7FA1" w14:textId="77777777" w:rsidR="0021652D" w:rsidRPr="00B415E3" w:rsidRDefault="001B2301">
            <w:pPr>
              <w:spacing w:before="0"/>
              <w:jc w:val="right"/>
            </w:pPr>
            <w:r w:rsidRPr="00B415E3">
              <w:t>0,42</w:t>
            </w:r>
          </w:p>
        </w:tc>
        <w:tc>
          <w:tcPr>
            <w:tcW w:w="785" w:type="dxa"/>
            <w:tcBorders>
              <w:top w:val="nil"/>
              <w:left w:val="nil"/>
              <w:bottom w:val="nil"/>
              <w:right w:val="nil"/>
            </w:tcBorders>
          </w:tcPr>
          <w:p w14:paraId="07E02CEB" w14:textId="77777777" w:rsidR="0021652D" w:rsidRPr="00B415E3" w:rsidRDefault="001B2301">
            <w:pPr>
              <w:spacing w:before="0"/>
              <w:jc w:val="right"/>
            </w:pPr>
            <w:r w:rsidRPr="00B415E3">
              <w:t>-0,41</w:t>
            </w:r>
          </w:p>
          <w:p w14:paraId="3E27D64A" w14:textId="77777777" w:rsidR="0021652D" w:rsidRPr="00B415E3" w:rsidRDefault="001B2301">
            <w:pPr>
              <w:spacing w:before="0"/>
              <w:jc w:val="right"/>
            </w:pPr>
            <w:r w:rsidRPr="00B415E3">
              <w:t>-0,44</w:t>
            </w:r>
          </w:p>
          <w:p w14:paraId="1954A116" w14:textId="77777777" w:rsidR="0021652D" w:rsidRPr="00B415E3" w:rsidRDefault="001B2301">
            <w:pPr>
              <w:spacing w:before="0"/>
              <w:jc w:val="right"/>
            </w:pPr>
            <w:r w:rsidRPr="00B415E3">
              <w:t>-0,18</w:t>
            </w:r>
          </w:p>
        </w:tc>
        <w:tc>
          <w:tcPr>
            <w:tcW w:w="784" w:type="dxa"/>
            <w:tcBorders>
              <w:top w:val="nil"/>
              <w:left w:val="nil"/>
              <w:bottom w:val="nil"/>
              <w:right w:val="nil"/>
            </w:tcBorders>
          </w:tcPr>
          <w:p w14:paraId="5EB4986A" w14:textId="77777777" w:rsidR="0021652D" w:rsidRPr="00B415E3" w:rsidRDefault="001B2301">
            <w:pPr>
              <w:spacing w:before="0"/>
              <w:jc w:val="right"/>
            </w:pPr>
            <w:r w:rsidRPr="00B415E3">
              <w:t>-0,43</w:t>
            </w:r>
          </w:p>
          <w:p w14:paraId="51480907" w14:textId="77777777" w:rsidR="0021652D" w:rsidRPr="00B415E3" w:rsidRDefault="001B2301">
            <w:pPr>
              <w:spacing w:before="0"/>
              <w:jc w:val="right"/>
            </w:pPr>
            <w:r w:rsidRPr="00B415E3">
              <w:t>-0,38</w:t>
            </w:r>
          </w:p>
          <w:p w14:paraId="538F284F" w14:textId="77777777" w:rsidR="0021652D" w:rsidRPr="00B415E3" w:rsidRDefault="001B2301">
            <w:pPr>
              <w:spacing w:before="0"/>
              <w:jc w:val="right"/>
            </w:pPr>
            <w:r w:rsidRPr="00B415E3">
              <w:t>-0,19</w:t>
            </w:r>
          </w:p>
        </w:tc>
        <w:tc>
          <w:tcPr>
            <w:tcW w:w="784" w:type="dxa"/>
            <w:tcBorders>
              <w:top w:val="nil"/>
              <w:left w:val="nil"/>
              <w:bottom w:val="nil"/>
              <w:right w:val="nil"/>
            </w:tcBorders>
          </w:tcPr>
          <w:p w14:paraId="360A4594" w14:textId="77777777" w:rsidR="0021652D" w:rsidRPr="00B415E3" w:rsidRDefault="001B2301">
            <w:pPr>
              <w:spacing w:before="0"/>
              <w:jc w:val="right"/>
              <w:rPr>
                <w:b/>
              </w:rPr>
            </w:pPr>
            <w:r w:rsidRPr="00B415E3">
              <w:rPr>
                <w:b/>
              </w:rPr>
              <w:t>0,90</w:t>
            </w:r>
          </w:p>
          <w:p w14:paraId="431C014D" w14:textId="77777777" w:rsidR="0021652D" w:rsidRPr="00B415E3" w:rsidRDefault="001B2301">
            <w:pPr>
              <w:spacing w:before="0"/>
              <w:jc w:val="right"/>
              <w:rPr>
                <w:b/>
              </w:rPr>
            </w:pPr>
            <w:r w:rsidRPr="00B415E3">
              <w:rPr>
                <w:b/>
              </w:rPr>
              <w:t>0,90</w:t>
            </w:r>
          </w:p>
          <w:p w14:paraId="246ACC34" w14:textId="77777777" w:rsidR="0021652D" w:rsidRPr="00B415E3" w:rsidRDefault="001B2301">
            <w:pPr>
              <w:spacing w:before="0"/>
              <w:jc w:val="right"/>
            </w:pPr>
            <w:r w:rsidRPr="00B415E3">
              <w:rPr>
                <w:b/>
              </w:rPr>
              <w:t>0,72</w:t>
            </w:r>
          </w:p>
        </w:tc>
        <w:tc>
          <w:tcPr>
            <w:tcW w:w="784" w:type="dxa"/>
            <w:tcBorders>
              <w:top w:val="nil"/>
              <w:left w:val="nil"/>
              <w:bottom w:val="nil"/>
              <w:right w:val="nil"/>
            </w:tcBorders>
          </w:tcPr>
          <w:p w14:paraId="3028A994" w14:textId="77777777" w:rsidR="0021652D" w:rsidRPr="00B415E3" w:rsidRDefault="001B2301">
            <w:pPr>
              <w:spacing w:before="0"/>
              <w:jc w:val="right"/>
            </w:pPr>
            <w:r w:rsidRPr="00B415E3">
              <w:t>0,60</w:t>
            </w:r>
          </w:p>
          <w:p w14:paraId="22FE5F92" w14:textId="77777777" w:rsidR="0021652D" w:rsidRPr="00B415E3" w:rsidRDefault="001B2301">
            <w:pPr>
              <w:spacing w:before="0"/>
              <w:jc w:val="right"/>
            </w:pPr>
            <w:r w:rsidRPr="00B415E3">
              <w:t>0,61</w:t>
            </w:r>
          </w:p>
          <w:p w14:paraId="13A51E7C" w14:textId="77777777" w:rsidR="0021652D" w:rsidRPr="00B415E3" w:rsidRDefault="001B2301">
            <w:pPr>
              <w:spacing w:before="0"/>
              <w:jc w:val="right"/>
            </w:pPr>
            <w:r w:rsidRPr="00B415E3">
              <w:t>0,42</w:t>
            </w:r>
          </w:p>
        </w:tc>
        <w:tc>
          <w:tcPr>
            <w:tcW w:w="784" w:type="dxa"/>
            <w:tcBorders>
              <w:top w:val="nil"/>
              <w:left w:val="nil"/>
              <w:bottom w:val="nil"/>
              <w:right w:val="nil"/>
            </w:tcBorders>
          </w:tcPr>
          <w:p w14:paraId="408F4899" w14:textId="77777777" w:rsidR="0021652D" w:rsidRPr="00B415E3" w:rsidRDefault="001B2301">
            <w:pPr>
              <w:spacing w:before="0"/>
              <w:jc w:val="right"/>
            </w:pPr>
            <w:r w:rsidRPr="00B415E3">
              <w:t>0,66</w:t>
            </w:r>
          </w:p>
          <w:p w14:paraId="53E0EF58" w14:textId="77777777" w:rsidR="0021652D" w:rsidRPr="00B415E3" w:rsidRDefault="001B2301">
            <w:pPr>
              <w:spacing w:before="0"/>
              <w:jc w:val="right"/>
            </w:pPr>
            <w:r w:rsidRPr="00B415E3">
              <w:t>0,69</w:t>
            </w:r>
          </w:p>
          <w:p w14:paraId="774AF408" w14:textId="77777777" w:rsidR="0021652D" w:rsidRPr="00B415E3" w:rsidRDefault="001B2301">
            <w:pPr>
              <w:spacing w:before="0"/>
              <w:jc w:val="right"/>
            </w:pPr>
            <w:r w:rsidRPr="00B415E3">
              <w:t>0,45</w:t>
            </w:r>
          </w:p>
        </w:tc>
        <w:tc>
          <w:tcPr>
            <w:tcW w:w="784" w:type="dxa"/>
            <w:tcBorders>
              <w:top w:val="nil"/>
              <w:left w:val="nil"/>
              <w:bottom w:val="nil"/>
              <w:right w:val="nil"/>
            </w:tcBorders>
          </w:tcPr>
          <w:p w14:paraId="1180DAC8" w14:textId="77777777" w:rsidR="0021652D" w:rsidRPr="00B415E3" w:rsidRDefault="001B2301">
            <w:pPr>
              <w:spacing w:before="0"/>
              <w:jc w:val="right"/>
            </w:pPr>
            <w:r w:rsidRPr="00B415E3">
              <w:t>0.55</w:t>
            </w:r>
          </w:p>
          <w:p w14:paraId="1755F882" w14:textId="77777777" w:rsidR="0021652D" w:rsidRPr="00B415E3" w:rsidRDefault="001B2301">
            <w:pPr>
              <w:spacing w:before="0"/>
              <w:jc w:val="right"/>
            </w:pPr>
            <w:r w:rsidRPr="00B415E3">
              <w:t>0.53</w:t>
            </w:r>
          </w:p>
          <w:p w14:paraId="582B6280" w14:textId="77777777" w:rsidR="0021652D" w:rsidRPr="00B415E3" w:rsidRDefault="001B2301">
            <w:pPr>
              <w:spacing w:before="0"/>
              <w:jc w:val="right"/>
            </w:pPr>
            <w:r w:rsidRPr="00B415E3">
              <w:t>0.39</w:t>
            </w:r>
          </w:p>
        </w:tc>
        <w:tc>
          <w:tcPr>
            <w:tcW w:w="784" w:type="dxa"/>
            <w:tcBorders>
              <w:top w:val="nil"/>
              <w:left w:val="nil"/>
              <w:bottom w:val="nil"/>
              <w:right w:val="nil"/>
            </w:tcBorders>
          </w:tcPr>
          <w:p w14:paraId="136EA916" w14:textId="77777777" w:rsidR="0021652D" w:rsidRPr="00B415E3" w:rsidRDefault="001B2301">
            <w:pPr>
              <w:spacing w:before="0"/>
              <w:jc w:val="right"/>
            </w:pPr>
            <w:r w:rsidRPr="00B415E3">
              <w:t>0,55</w:t>
            </w:r>
          </w:p>
          <w:p w14:paraId="175969A4" w14:textId="77777777" w:rsidR="0021652D" w:rsidRPr="00B415E3" w:rsidRDefault="001B2301">
            <w:pPr>
              <w:spacing w:before="0"/>
              <w:jc w:val="right"/>
            </w:pPr>
            <w:r w:rsidRPr="00B415E3">
              <w:t>0,57</w:t>
            </w:r>
          </w:p>
          <w:p w14:paraId="5C367857" w14:textId="77777777" w:rsidR="0021652D" w:rsidRPr="00B415E3" w:rsidRDefault="001B2301">
            <w:pPr>
              <w:spacing w:before="0"/>
              <w:jc w:val="right"/>
            </w:pPr>
            <w:r w:rsidRPr="00B415E3">
              <w:t>0,45</w:t>
            </w:r>
          </w:p>
        </w:tc>
      </w:tr>
      <w:tr w:rsidR="00B415E3" w:rsidRPr="00B415E3" w14:paraId="2B7EE289" w14:textId="77777777">
        <w:tc>
          <w:tcPr>
            <w:tcW w:w="820" w:type="dxa"/>
            <w:tcBorders>
              <w:top w:val="nil"/>
              <w:left w:val="nil"/>
              <w:bottom w:val="nil"/>
              <w:right w:val="single" w:sz="4" w:space="0" w:color="000000"/>
            </w:tcBorders>
          </w:tcPr>
          <w:p w14:paraId="73E38FEF" w14:textId="77777777" w:rsidR="0021652D" w:rsidRPr="00B415E3" w:rsidRDefault="001B2301">
            <w:pPr>
              <w:spacing w:before="0"/>
            </w:pPr>
            <w:r w:rsidRPr="00B415E3">
              <w:t>SE1</w:t>
            </w:r>
          </w:p>
          <w:p w14:paraId="7C15A920" w14:textId="77777777" w:rsidR="0021652D" w:rsidRPr="00B415E3" w:rsidRDefault="001B2301">
            <w:pPr>
              <w:spacing w:before="0"/>
            </w:pPr>
            <w:r w:rsidRPr="00B415E3">
              <w:t>SE2</w:t>
            </w:r>
          </w:p>
          <w:p w14:paraId="660620A4" w14:textId="77777777" w:rsidR="0021652D" w:rsidRPr="00B415E3" w:rsidRDefault="001B2301">
            <w:pPr>
              <w:spacing w:before="0"/>
            </w:pPr>
            <w:r w:rsidRPr="00B415E3">
              <w:t>SE3</w:t>
            </w:r>
          </w:p>
          <w:p w14:paraId="141F22B3" w14:textId="77777777" w:rsidR="0021652D" w:rsidRPr="00B415E3" w:rsidRDefault="001B2301">
            <w:pPr>
              <w:spacing w:before="0"/>
            </w:pPr>
            <w:r w:rsidRPr="00B415E3">
              <w:t>SE4</w:t>
            </w:r>
          </w:p>
        </w:tc>
        <w:tc>
          <w:tcPr>
            <w:tcW w:w="699" w:type="dxa"/>
            <w:tcBorders>
              <w:top w:val="nil"/>
              <w:left w:val="single" w:sz="4" w:space="0" w:color="000000"/>
              <w:bottom w:val="nil"/>
              <w:right w:val="nil"/>
            </w:tcBorders>
          </w:tcPr>
          <w:p w14:paraId="0982EED1" w14:textId="77777777" w:rsidR="0021652D" w:rsidRPr="00B415E3" w:rsidRDefault="001B2301">
            <w:pPr>
              <w:spacing w:before="0"/>
              <w:jc w:val="right"/>
            </w:pPr>
            <w:r w:rsidRPr="00B415E3">
              <w:t>2.36</w:t>
            </w:r>
          </w:p>
          <w:p w14:paraId="7F108DD5" w14:textId="77777777" w:rsidR="0021652D" w:rsidRPr="00B415E3" w:rsidRDefault="001B2301">
            <w:pPr>
              <w:spacing w:before="0"/>
              <w:jc w:val="right"/>
            </w:pPr>
            <w:r w:rsidRPr="00B415E3">
              <w:t>1.92</w:t>
            </w:r>
          </w:p>
          <w:p w14:paraId="391E1047" w14:textId="77777777" w:rsidR="0021652D" w:rsidRPr="00B415E3" w:rsidRDefault="001B2301">
            <w:pPr>
              <w:spacing w:before="0"/>
              <w:jc w:val="right"/>
            </w:pPr>
            <w:r w:rsidRPr="00B415E3">
              <w:t>2.22</w:t>
            </w:r>
          </w:p>
          <w:p w14:paraId="51633CD9" w14:textId="77777777" w:rsidR="0021652D" w:rsidRPr="00B415E3" w:rsidRDefault="001B2301">
            <w:pPr>
              <w:spacing w:before="0"/>
              <w:jc w:val="right"/>
            </w:pPr>
            <w:r w:rsidRPr="00B415E3">
              <w:t>2.38</w:t>
            </w:r>
          </w:p>
        </w:tc>
        <w:tc>
          <w:tcPr>
            <w:tcW w:w="785" w:type="dxa"/>
            <w:tcBorders>
              <w:top w:val="nil"/>
              <w:left w:val="nil"/>
              <w:bottom w:val="nil"/>
              <w:right w:val="nil"/>
            </w:tcBorders>
          </w:tcPr>
          <w:p w14:paraId="67222E7E" w14:textId="77777777" w:rsidR="0021652D" w:rsidRPr="00B415E3" w:rsidRDefault="001B2301">
            <w:pPr>
              <w:spacing w:before="0"/>
              <w:jc w:val="right"/>
            </w:pPr>
            <w:r w:rsidRPr="00B415E3">
              <w:t>0,57</w:t>
            </w:r>
          </w:p>
          <w:p w14:paraId="255E7390" w14:textId="77777777" w:rsidR="0021652D" w:rsidRPr="00B415E3" w:rsidRDefault="001B2301">
            <w:pPr>
              <w:spacing w:before="0"/>
              <w:jc w:val="right"/>
            </w:pPr>
            <w:r w:rsidRPr="00B415E3">
              <w:t>0,45</w:t>
            </w:r>
          </w:p>
          <w:p w14:paraId="33842258" w14:textId="77777777" w:rsidR="0021652D" w:rsidRPr="00B415E3" w:rsidRDefault="001B2301">
            <w:pPr>
              <w:spacing w:before="0"/>
              <w:jc w:val="right"/>
            </w:pPr>
            <w:r w:rsidRPr="00B415E3">
              <w:t>0,48</w:t>
            </w:r>
          </w:p>
          <w:p w14:paraId="6F266B4C" w14:textId="77777777" w:rsidR="0021652D" w:rsidRPr="00B415E3" w:rsidRDefault="001B2301">
            <w:pPr>
              <w:spacing w:before="0"/>
              <w:jc w:val="right"/>
            </w:pPr>
            <w:r w:rsidRPr="00B415E3">
              <w:t>0,53</w:t>
            </w:r>
          </w:p>
        </w:tc>
        <w:tc>
          <w:tcPr>
            <w:tcW w:w="785" w:type="dxa"/>
            <w:tcBorders>
              <w:top w:val="nil"/>
              <w:left w:val="nil"/>
              <w:bottom w:val="nil"/>
              <w:right w:val="nil"/>
            </w:tcBorders>
          </w:tcPr>
          <w:p w14:paraId="2FEF40F1" w14:textId="77777777" w:rsidR="0021652D" w:rsidRPr="00B415E3" w:rsidRDefault="001B2301">
            <w:pPr>
              <w:spacing w:before="0"/>
              <w:jc w:val="right"/>
            </w:pPr>
            <w:r w:rsidRPr="00B415E3">
              <w:t>-0,46</w:t>
            </w:r>
          </w:p>
          <w:p w14:paraId="089B1A9F" w14:textId="77777777" w:rsidR="0021652D" w:rsidRPr="00B415E3" w:rsidRDefault="001B2301">
            <w:pPr>
              <w:spacing w:before="0"/>
              <w:jc w:val="right"/>
            </w:pPr>
            <w:r w:rsidRPr="00B415E3">
              <w:t>-0,49</w:t>
            </w:r>
          </w:p>
          <w:p w14:paraId="4158FAA9" w14:textId="77777777" w:rsidR="0021652D" w:rsidRPr="00B415E3" w:rsidRDefault="001B2301">
            <w:pPr>
              <w:spacing w:before="0"/>
              <w:jc w:val="right"/>
            </w:pPr>
            <w:r w:rsidRPr="00B415E3">
              <w:t>-0,43</w:t>
            </w:r>
          </w:p>
          <w:p w14:paraId="0D950861" w14:textId="77777777" w:rsidR="0021652D" w:rsidRPr="00B415E3" w:rsidRDefault="001B2301">
            <w:pPr>
              <w:spacing w:before="0"/>
              <w:jc w:val="right"/>
            </w:pPr>
            <w:r w:rsidRPr="00B415E3">
              <w:t>-0,47</w:t>
            </w:r>
          </w:p>
        </w:tc>
        <w:tc>
          <w:tcPr>
            <w:tcW w:w="784" w:type="dxa"/>
            <w:tcBorders>
              <w:top w:val="nil"/>
              <w:left w:val="nil"/>
              <w:bottom w:val="nil"/>
              <w:right w:val="nil"/>
            </w:tcBorders>
          </w:tcPr>
          <w:p w14:paraId="296F22B1" w14:textId="77777777" w:rsidR="0021652D" w:rsidRPr="00B415E3" w:rsidRDefault="001B2301">
            <w:pPr>
              <w:spacing w:before="0"/>
              <w:jc w:val="right"/>
            </w:pPr>
            <w:r w:rsidRPr="00B415E3">
              <w:t>-0,32</w:t>
            </w:r>
          </w:p>
          <w:p w14:paraId="2792B5A5" w14:textId="77777777" w:rsidR="0021652D" w:rsidRPr="00B415E3" w:rsidRDefault="001B2301">
            <w:pPr>
              <w:spacing w:before="0"/>
              <w:jc w:val="right"/>
            </w:pPr>
            <w:r w:rsidRPr="00B415E3">
              <w:t>-0,32</w:t>
            </w:r>
          </w:p>
          <w:p w14:paraId="424F5082" w14:textId="77777777" w:rsidR="0021652D" w:rsidRPr="00B415E3" w:rsidRDefault="001B2301">
            <w:pPr>
              <w:spacing w:before="0"/>
              <w:jc w:val="right"/>
            </w:pPr>
            <w:r w:rsidRPr="00B415E3">
              <w:t>-0,37</w:t>
            </w:r>
          </w:p>
          <w:p w14:paraId="77D075B2" w14:textId="77777777" w:rsidR="0021652D" w:rsidRPr="00B415E3" w:rsidRDefault="001B2301">
            <w:pPr>
              <w:spacing w:before="0"/>
              <w:jc w:val="right"/>
            </w:pPr>
            <w:r w:rsidRPr="00B415E3">
              <w:t>-0,41</w:t>
            </w:r>
          </w:p>
        </w:tc>
        <w:tc>
          <w:tcPr>
            <w:tcW w:w="784" w:type="dxa"/>
            <w:tcBorders>
              <w:top w:val="nil"/>
              <w:left w:val="nil"/>
              <w:bottom w:val="nil"/>
              <w:right w:val="nil"/>
            </w:tcBorders>
          </w:tcPr>
          <w:p w14:paraId="13403224" w14:textId="77777777" w:rsidR="0021652D" w:rsidRPr="00B415E3" w:rsidRDefault="001B2301">
            <w:pPr>
              <w:spacing w:before="0"/>
              <w:jc w:val="right"/>
            </w:pPr>
            <w:r w:rsidRPr="00B415E3">
              <w:t>0,61</w:t>
            </w:r>
          </w:p>
          <w:p w14:paraId="20D047F3" w14:textId="77777777" w:rsidR="0021652D" w:rsidRPr="00B415E3" w:rsidRDefault="001B2301">
            <w:pPr>
              <w:spacing w:before="0"/>
              <w:jc w:val="right"/>
            </w:pPr>
            <w:r w:rsidRPr="00B415E3">
              <w:t>0,51</w:t>
            </w:r>
          </w:p>
          <w:p w14:paraId="716509F2" w14:textId="77777777" w:rsidR="0021652D" w:rsidRPr="00B415E3" w:rsidRDefault="001B2301">
            <w:pPr>
              <w:spacing w:before="0"/>
              <w:jc w:val="right"/>
            </w:pPr>
            <w:r w:rsidRPr="00B415E3">
              <w:t>0,56</w:t>
            </w:r>
          </w:p>
          <w:p w14:paraId="4C3B6C7E" w14:textId="77777777" w:rsidR="0021652D" w:rsidRPr="00B415E3" w:rsidRDefault="001B2301">
            <w:pPr>
              <w:spacing w:before="0"/>
              <w:jc w:val="right"/>
            </w:pPr>
            <w:r w:rsidRPr="00B415E3">
              <w:t>0,55</w:t>
            </w:r>
          </w:p>
        </w:tc>
        <w:tc>
          <w:tcPr>
            <w:tcW w:w="784" w:type="dxa"/>
            <w:tcBorders>
              <w:top w:val="nil"/>
              <w:left w:val="nil"/>
              <w:bottom w:val="nil"/>
              <w:right w:val="nil"/>
            </w:tcBorders>
          </w:tcPr>
          <w:p w14:paraId="1EBE070D" w14:textId="77777777" w:rsidR="0021652D" w:rsidRPr="00B415E3" w:rsidRDefault="001B2301">
            <w:pPr>
              <w:spacing w:before="0"/>
              <w:jc w:val="right"/>
              <w:rPr>
                <w:b/>
              </w:rPr>
            </w:pPr>
            <w:r w:rsidRPr="00B415E3">
              <w:rPr>
                <w:b/>
              </w:rPr>
              <w:t>0,87</w:t>
            </w:r>
          </w:p>
          <w:p w14:paraId="7B213910" w14:textId="77777777" w:rsidR="0021652D" w:rsidRPr="00B415E3" w:rsidRDefault="001B2301">
            <w:pPr>
              <w:spacing w:before="0"/>
              <w:jc w:val="right"/>
              <w:rPr>
                <w:b/>
              </w:rPr>
            </w:pPr>
            <w:r w:rsidRPr="00B415E3">
              <w:rPr>
                <w:b/>
              </w:rPr>
              <w:t>0,82</w:t>
            </w:r>
          </w:p>
          <w:p w14:paraId="4497159F" w14:textId="77777777" w:rsidR="0021652D" w:rsidRPr="00B415E3" w:rsidRDefault="001B2301">
            <w:pPr>
              <w:spacing w:before="0"/>
              <w:jc w:val="right"/>
              <w:rPr>
                <w:b/>
              </w:rPr>
            </w:pPr>
            <w:r w:rsidRPr="00B415E3">
              <w:rPr>
                <w:b/>
              </w:rPr>
              <w:t>0,86</w:t>
            </w:r>
          </w:p>
          <w:p w14:paraId="73254382" w14:textId="77777777" w:rsidR="0021652D" w:rsidRPr="00B415E3" w:rsidRDefault="001B2301">
            <w:pPr>
              <w:spacing w:before="0"/>
              <w:jc w:val="right"/>
            </w:pPr>
            <w:r w:rsidRPr="00B415E3">
              <w:rPr>
                <w:b/>
              </w:rPr>
              <w:t>0,87</w:t>
            </w:r>
          </w:p>
        </w:tc>
        <w:tc>
          <w:tcPr>
            <w:tcW w:w="784" w:type="dxa"/>
            <w:tcBorders>
              <w:top w:val="nil"/>
              <w:left w:val="nil"/>
              <w:bottom w:val="nil"/>
              <w:right w:val="nil"/>
            </w:tcBorders>
          </w:tcPr>
          <w:p w14:paraId="779BCEC1" w14:textId="77777777" w:rsidR="0021652D" w:rsidRPr="00B415E3" w:rsidRDefault="001B2301">
            <w:pPr>
              <w:spacing w:before="0"/>
              <w:jc w:val="right"/>
            </w:pPr>
            <w:r w:rsidRPr="00B415E3">
              <w:t>0,62</w:t>
            </w:r>
          </w:p>
          <w:p w14:paraId="2F57BE1F" w14:textId="77777777" w:rsidR="0021652D" w:rsidRPr="00B415E3" w:rsidRDefault="001B2301">
            <w:pPr>
              <w:spacing w:before="0"/>
              <w:jc w:val="right"/>
            </w:pPr>
            <w:r w:rsidRPr="00B415E3">
              <w:t>0,53</w:t>
            </w:r>
          </w:p>
          <w:p w14:paraId="5425766A" w14:textId="77777777" w:rsidR="0021652D" w:rsidRPr="00B415E3" w:rsidRDefault="001B2301">
            <w:pPr>
              <w:spacing w:before="0"/>
              <w:jc w:val="right"/>
            </w:pPr>
            <w:r w:rsidRPr="00B415E3">
              <w:t>0,61</w:t>
            </w:r>
          </w:p>
          <w:p w14:paraId="3C3CA177" w14:textId="77777777" w:rsidR="0021652D" w:rsidRPr="00B415E3" w:rsidRDefault="001B2301">
            <w:pPr>
              <w:spacing w:before="0"/>
              <w:jc w:val="right"/>
            </w:pPr>
            <w:r w:rsidRPr="00B415E3">
              <w:t>0,63</w:t>
            </w:r>
          </w:p>
        </w:tc>
        <w:tc>
          <w:tcPr>
            <w:tcW w:w="784" w:type="dxa"/>
            <w:tcBorders>
              <w:top w:val="nil"/>
              <w:left w:val="nil"/>
              <w:bottom w:val="nil"/>
              <w:right w:val="nil"/>
            </w:tcBorders>
          </w:tcPr>
          <w:p w14:paraId="7D0B2DB7" w14:textId="77777777" w:rsidR="0021652D" w:rsidRPr="00B415E3" w:rsidRDefault="001B2301">
            <w:pPr>
              <w:spacing w:before="0"/>
              <w:jc w:val="right"/>
            </w:pPr>
            <w:r w:rsidRPr="00B415E3">
              <w:t>0.55</w:t>
            </w:r>
          </w:p>
          <w:p w14:paraId="30E5BD5E" w14:textId="77777777" w:rsidR="0021652D" w:rsidRPr="00B415E3" w:rsidRDefault="001B2301">
            <w:pPr>
              <w:spacing w:before="0"/>
              <w:jc w:val="right"/>
            </w:pPr>
            <w:r w:rsidRPr="00B415E3">
              <w:t>0.50</w:t>
            </w:r>
          </w:p>
          <w:p w14:paraId="789E8A99" w14:textId="77777777" w:rsidR="0021652D" w:rsidRPr="00B415E3" w:rsidRDefault="001B2301">
            <w:pPr>
              <w:spacing w:before="0"/>
              <w:jc w:val="right"/>
            </w:pPr>
            <w:r w:rsidRPr="00B415E3">
              <w:t>0.58</w:t>
            </w:r>
          </w:p>
          <w:p w14:paraId="75380C69" w14:textId="77777777" w:rsidR="0021652D" w:rsidRPr="00B415E3" w:rsidRDefault="001B2301">
            <w:pPr>
              <w:spacing w:before="0"/>
              <w:jc w:val="right"/>
            </w:pPr>
            <w:r w:rsidRPr="00B415E3">
              <w:t>0.60</w:t>
            </w:r>
          </w:p>
        </w:tc>
        <w:tc>
          <w:tcPr>
            <w:tcW w:w="784" w:type="dxa"/>
            <w:tcBorders>
              <w:top w:val="nil"/>
              <w:left w:val="nil"/>
              <w:bottom w:val="nil"/>
              <w:right w:val="nil"/>
            </w:tcBorders>
          </w:tcPr>
          <w:p w14:paraId="024109AA" w14:textId="77777777" w:rsidR="0021652D" w:rsidRPr="00B415E3" w:rsidRDefault="001B2301">
            <w:pPr>
              <w:spacing w:before="0"/>
              <w:jc w:val="right"/>
            </w:pPr>
            <w:r w:rsidRPr="00B415E3">
              <w:t>0,56</w:t>
            </w:r>
          </w:p>
          <w:p w14:paraId="141C796E" w14:textId="77777777" w:rsidR="0021652D" w:rsidRPr="00B415E3" w:rsidRDefault="001B2301">
            <w:pPr>
              <w:spacing w:before="0"/>
              <w:jc w:val="right"/>
            </w:pPr>
            <w:r w:rsidRPr="00B415E3">
              <w:t>0,51</w:t>
            </w:r>
          </w:p>
          <w:p w14:paraId="236B2D0F" w14:textId="77777777" w:rsidR="0021652D" w:rsidRPr="00B415E3" w:rsidRDefault="001B2301">
            <w:pPr>
              <w:spacing w:before="0"/>
              <w:jc w:val="right"/>
            </w:pPr>
            <w:r w:rsidRPr="00B415E3">
              <w:t>0,59</w:t>
            </w:r>
          </w:p>
          <w:p w14:paraId="61AC567D" w14:textId="77777777" w:rsidR="0021652D" w:rsidRPr="00B415E3" w:rsidRDefault="001B2301">
            <w:pPr>
              <w:spacing w:before="0"/>
              <w:jc w:val="right"/>
            </w:pPr>
            <w:r w:rsidRPr="00B415E3">
              <w:t>0,63</w:t>
            </w:r>
          </w:p>
        </w:tc>
      </w:tr>
      <w:tr w:rsidR="00B415E3" w:rsidRPr="00B415E3" w14:paraId="334471C5" w14:textId="77777777">
        <w:tc>
          <w:tcPr>
            <w:tcW w:w="820" w:type="dxa"/>
            <w:tcBorders>
              <w:top w:val="nil"/>
              <w:left w:val="nil"/>
              <w:bottom w:val="nil"/>
              <w:right w:val="single" w:sz="4" w:space="0" w:color="000000"/>
            </w:tcBorders>
          </w:tcPr>
          <w:p w14:paraId="3DC5758A" w14:textId="77777777" w:rsidR="0021652D" w:rsidRPr="00B415E3" w:rsidRDefault="001B2301">
            <w:pPr>
              <w:spacing w:before="0"/>
            </w:pPr>
            <w:r w:rsidRPr="00B415E3">
              <w:t>PE1</w:t>
            </w:r>
          </w:p>
          <w:p w14:paraId="5B3B0BD1" w14:textId="77777777" w:rsidR="0021652D" w:rsidRPr="00B415E3" w:rsidRDefault="001B2301">
            <w:pPr>
              <w:spacing w:before="0"/>
            </w:pPr>
            <w:r w:rsidRPr="00B415E3">
              <w:t>PE2</w:t>
            </w:r>
          </w:p>
          <w:p w14:paraId="03414538" w14:textId="77777777" w:rsidR="0021652D" w:rsidRPr="00B415E3" w:rsidRDefault="001B2301">
            <w:pPr>
              <w:spacing w:before="0"/>
            </w:pPr>
            <w:r w:rsidRPr="00B415E3">
              <w:t>PE3</w:t>
            </w:r>
          </w:p>
          <w:p w14:paraId="7A092538" w14:textId="77777777" w:rsidR="0021652D" w:rsidRPr="00B415E3" w:rsidRDefault="001B2301">
            <w:pPr>
              <w:spacing w:before="0"/>
            </w:pPr>
            <w:r w:rsidRPr="00B415E3">
              <w:t>PE4</w:t>
            </w:r>
          </w:p>
        </w:tc>
        <w:tc>
          <w:tcPr>
            <w:tcW w:w="699" w:type="dxa"/>
            <w:tcBorders>
              <w:top w:val="nil"/>
              <w:left w:val="single" w:sz="4" w:space="0" w:color="000000"/>
              <w:bottom w:val="nil"/>
              <w:right w:val="nil"/>
            </w:tcBorders>
          </w:tcPr>
          <w:p w14:paraId="4BE5D82C" w14:textId="77777777" w:rsidR="0021652D" w:rsidRPr="00B415E3" w:rsidRDefault="001B2301">
            <w:pPr>
              <w:spacing w:before="0"/>
              <w:jc w:val="right"/>
            </w:pPr>
            <w:r w:rsidRPr="00B415E3">
              <w:t>2.40</w:t>
            </w:r>
          </w:p>
          <w:p w14:paraId="4BA2E015" w14:textId="77777777" w:rsidR="0021652D" w:rsidRPr="00B415E3" w:rsidRDefault="001B2301">
            <w:pPr>
              <w:spacing w:before="0"/>
              <w:jc w:val="right"/>
            </w:pPr>
            <w:r w:rsidRPr="00B415E3">
              <w:t>2.57</w:t>
            </w:r>
          </w:p>
          <w:p w14:paraId="427B6623" w14:textId="77777777" w:rsidR="0021652D" w:rsidRPr="00B415E3" w:rsidRDefault="001B2301">
            <w:pPr>
              <w:spacing w:before="0"/>
              <w:jc w:val="right"/>
            </w:pPr>
            <w:r w:rsidRPr="00B415E3">
              <w:t>2.66</w:t>
            </w:r>
          </w:p>
          <w:p w14:paraId="130A24C2" w14:textId="77777777" w:rsidR="0021652D" w:rsidRPr="00B415E3" w:rsidRDefault="001B2301">
            <w:pPr>
              <w:spacing w:before="0"/>
              <w:jc w:val="right"/>
            </w:pPr>
            <w:r w:rsidRPr="00B415E3">
              <w:t>2.37</w:t>
            </w:r>
          </w:p>
        </w:tc>
        <w:tc>
          <w:tcPr>
            <w:tcW w:w="785" w:type="dxa"/>
            <w:tcBorders>
              <w:top w:val="nil"/>
              <w:left w:val="nil"/>
              <w:bottom w:val="nil"/>
              <w:right w:val="nil"/>
            </w:tcBorders>
          </w:tcPr>
          <w:p w14:paraId="0730EA5E" w14:textId="77777777" w:rsidR="0021652D" w:rsidRPr="00B415E3" w:rsidRDefault="001B2301">
            <w:pPr>
              <w:spacing w:before="0"/>
              <w:jc w:val="right"/>
            </w:pPr>
            <w:r w:rsidRPr="00B415E3">
              <w:t>0,67</w:t>
            </w:r>
          </w:p>
          <w:p w14:paraId="7A9BBAFD" w14:textId="77777777" w:rsidR="0021652D" w:rsidRPr="00B415E3" w:rsidRDefault="001B2301">
            <w:pPr>
              <w:spacing w:before="0"/>
              <w:jc w:val="right"/>
            </w:pPr>
            <w:r w:rsidRPr="00B415E3">
              <w:t>0,76</w:t>
            </w:r>
          </w:p>
          <w:p w14:paraId="43616782" w14:textId="77777777" w:rsidR="0021652D" w:rsidRPr="00B415E3" w:rsidRDefault="001B2301">
            <w:pPr>
              <w:spacing w:before="0"/>
              <w:jc w:val="right"/>
            </w:pPr>
            <w:r w:rsidRPr="00B415E3">
              <w:t>0,70</w:t>
            </w:r>
          </w:p>
          <w:p w14:paraId="0ACCB9C6" w14:textId="77777777" w:rsidR="0021652D" w:rsidRPr="00B415E3" w:rsidRDefault="001B2301">
            <w:pPr>
              <w:spacing w:before="0"/>
              <w:jc w:val="right"/>
            </w:pPr>
            <w:r w:rsidRPr="00B415E3">
              <w:t>0,62</w:t>
            </w:r>
          </w:p>
        </w:tc>
        <w:tc>
          <w:tcPr>
            <w:tcW w:w="785" w:type="dxa"/>
            <w:tcBorders>
              <w:top w:val="nil"/>
              <w:left w:val="nil"/>
              <w:bottom w:val="nil"/>
              <w:right w:val="nil"/>
            </w:tcBorders>
          </w:tcPr>
          <w:p w14:paraId="6AFFA8B5" w14:textId="77777777" w:rsidR="0021652D" w:rsidRPr="00B415E3" w:rsidRDefault="001B2301">
            <w:pPr>
              <w:spacing w:before="0"/>
              <w:jc w:val="right"/>
            </w:pPr>
            <w:r w:rsidRPr="00B415E3">
              <w:t>-0,36</w:t>
            </w:r>
          </w:p>
          <w:p w14:paraId="6CF82867" w14:textId="77777777" w:rsidR="0021652D" w:rsidRPr="00B415E3" w:rsidRDefault="001B2301">
            <w:pPr>
              <w:spacing w:before="0"/>
              <w:jc w:val="right"/>
            </w:pPr>
            <w:r w:rsidRPr="00B415E3">
              <w:t>-0,38</w:t>
            </w:r>
          </w:p>
          <w:p w14:paraId="0732F2FB" w14:textId="77777777" w:rsidR="0021652D" w:rsidRPr="00B415E3" w:rsidRDefault="001B2301">
            <w:pPr>
              <w:spacing w:before="0"/>
              <w:jc w:val="right"/>
            </w:pPr>
            <w:r w:rsidRPr="00B415E3">
              <w:t>-0,45</w:t>
            </w:r>
          </w:p>
          <w:p w14:paraId="48A02887" w14:textId="77777777" w:rsidR="0021652D" w:rsidRPr="00B415E3" w:rsidRDefault="001B2301">
            <w:pPr>
              <w:spacing w:before="0"/>
              <w:jc w:val="right"/>
            </w:pPr>
            <w:r w:rsidRPr="00B415E3">
              <w:t>-0,35</w:t>
            </w:r>
          </w:p>
        </w:tc>
        <w:tc>
          <w:tcPr>
            <w:tcW w:w="784" w:type="dxa"/>
            <w:tcBorders>
              <w:top w:val="nil"/>
              <w:left w:val="nil"/>
              <w:bottom w:val="nil"/>
              <w:right w:val="nil"/>
            </w:tcBorders>
          </w:tcPr>
          <w:p w14:paraId="433F965D" w14:textId="77777777" w:rsidR="0021652D" w:rsidRPr="00B415E3" w:rsidRDefault="001B2301">
            <w:pPr>
              <w:spacing w:before="0"/>
              <w:jc w:val="right"/>
            </w:pPr>
            <w:r w:rsidRPr="00B415E3">
              <w:t>-0,53</w:t>
            </w:r>
          </w:p>
          <w:p w14:paraId="79784706" w14:textId="77777777" w:rsidR="0021652D" w:rsidRPr="00B415E3" w:rsidRDefault="001B2301">
            <w:pPr>
              <w:spacing w:before="0"/>
              <w:jc w:val="right"/>
            </w:pPr>
            <w:r w:rsidRPr="00B415E3">
              <w:t>-0,53</w:t>
            </w:r>
          </w:p>
          <w:p w14:paraId="164997D6" w14:textId="77777777" w:rsidR="0021652D" w:rsidRPr="00B415E3" w:rsidRDefault="001B2301">
            <w:pPr>
              <w:spacing w:before="0"/>
              <w:jc w:val="right"/>
            </w:pPr>
            <w:r w:rsidRPr="00B415E3">
              <w:t>-0,58</w:t>
            </w:r>
          </w:p>
          <w:p w14:paraId="20529A87" w14:textId="77777777" w:rsidR="0021652D" w:rsidRPr="00B415E3" w:rsidRDefault="001B2301">
            <w:pPr>
              <w:spacing w:before="0"/>
              <w:jc w:val="right"/>
            </w:pPr>
            <w:r w:rsidRPr="00B415E3">
              <w:t>-0,50</w:t>
            </w:r>
          </w:p>
        </w:tc>
        <w:tc>
          <w:tcPr>
            <w:tcW w:w="784" w:type="dxa"/>
            <w:tcBorders>
              <w:top w:val="nil"/>
              <w:left w:val="nil"/>
              <w:bottom w:val="nil"/>
              <w:right w:val="nil"/>
            </w:tcBorders>
          </w:tcPr>
          <w:p w14:paraId="1BFEDFD9" w14:textId="77777777" w:rsidR="0021652D" w:rsidRPr="00B415E3" w:rsidRDefault="001B2301">
            <w:pPr>
              <w:spacing w:before="0"/>
              <w:jc w:val="right"/>
            </w:pPr>
            <w:r w:rsidRPr="00B415E3">
              <w:t>0,64</w:t>
            </w:r>
          </w:p>
          <w:p w14:paraId="1BDE4128" w14:textId="77777777" w:rsidR="0021652D" w:rsidRPr="00B415E3" w:rsidRDefault="001B2301">
            <w:pPr>
              <w:spacing w:before="0"/>
              <w:jc w:val="right"/>
            </w:pPr>
            <w:r w:rsidRPr="00B415E3">
              <w:t>0,65</w:t>
            </w:r>
          </w:p>
          <w:p w14:paraId="38764D49" w14:textId="77777777" w:rsidR="0021652D" w:rsidRPr="00B415E3" w:rsidRDefault="001B2301">
            <w:pPr>
              <w:spacing w:before="0"/>
              <w:jc w:val="right"/>
            </w:pPr>
            <w:r w:rsidRPr="00B415E3">
              <w:t>0,59</w:t>
            </w:r>
          </w:p>
          <w:p w14:paraId="2D7FB460" w14:textId="77777777" w:rsidR="0021652D" w:rsidRPr="00B415E3" w:rsidRDefault="001B2301">
            <w:pPr>
              <w:spacing w:before="0"/>
              <w:jc w:val="right"/>
            </w:pPr>
            <w:r w:rsidRPr="00B415E3">
              <w:t>0,63</w:t>
            </w:r>
          </w:p>
        </w:tc>
        <w:tc>
          <w:tcPr>
            <w:tcW w:w="784" w:type="dxa"/>
            <w:tcBorders>
              <w:top w:val="nil"/>
              <w:left w:val="nil"/>
              <w:bottom w:val="nil"/>
              <w:right w:val="nil"/>
            </w:tcBorders>
          </w:tcPr>
          <w:p w14:paraId="17378BF6" w14:textId="77777777" w:rsidR="0021652D" w:rsidRPr="00B415E3" w:rsidRDefault="001B2301">
            <w:pPr>
              <w:spacing w:before="0"/>
              <w:jc w:val="right"/>
            </w:pPr>
            <w:r w:rsidRPr="00B415E3">
              <w:t>0,63</w:t>
            </w:r>
          </w:p>
          <w:p w14:paraId="490121FA" w14:textId="77777777" w:rsidR="0021652D" w:rsidRPr="00B415E3" w:rsidRDefault="001B2301">
            <w:pPr>
              <w:spacing w:before="0"/>
              <w:jc w:val="right"/>
            </w:pPr>
            <w:r w:rsidRPr="00B415E3">
              <w:t>0,64</w:t>
            </w:r>
          </w:p>
          <w:p w14:paraId="4B8143D8" w14:textId="77777777" w:rsidR="0021652D" w:rsidRPr="00B415E3" w:rsidRDefault="001B2301">
            <w:pPr>
              <w:spacing w:before="0"/>
              <w:jc w:val="right"/>
            </w:pPr>
            <w:r w:rsidRPr="00B415E3">
              <w:t>0,58</w:t>
            </w:r>
          </w:p>
          <w:p w14:paraId="39148F02" w14:textId="77777777" w:rsidR="0021652D" w:rsidRPr="00B415E3" w:rsidRDefault="001B2301">
            <w:pPr>
              <w:spacing w:before="0"/>
              <w:jc w:val="right"/>
            </w:pPr>
            <w:r w:rsidRPr="00B415E3">
              <w:t>0,58</w:t>
            </w:r>
          </w:p>
        </w:tc>
        <w:tc>
          <w:tcPr>
            <w:tcW w:w="784" w:type="dxa"/>
            <w:tcBorders>
              <w:top w:val="nil"/>
              <w:left w:val="nil"/>
              <w:bottom w:val="nil"/>
              <w:right w:val="nil"/>
            </w:tcBorders>
          </w:tcPr>
          <w:p w14:paraId="64BF1BE3" w14:textId="77777777" w:rsidR="0021652D" w:rsidRPr="00B415E3" w:rsidRDefault="001B2301">
            <w:pPr>
              <w:spacing w:before="0"/>
              <w:jc w:val="right"/>
              <w:rPr>
                <w:b/>
              </w:rPr>
            </w:pPr>
            <w:r w:rsidRPr="00B415E3">
              <w:rPr>
                <w:b/>
              </w:rPr>
              <w:t>0,87</w:t>
            </w:r>
          </w:p>
          <w:p w14:paraId="129DBD57" w14:textId="77777777" w:rsidR="0021652D" w:rsidRPr="00B415E3" w:rsidRDefault="001B2301">
            <w:pPr>
              <w:spacing w:before="0"/>
              <w:jc w:val="right"/>
              <w:rPr>
                <w:b/>
              </w:rPr>
            </w:pPr>
            <w:r w:rsidRPr="00B415E3">
              <w:rPr>
                <w:b/>
              </w:rPr>
              <w:t>0,88</w:t>
            </w:r>
          </w:p>
          <w:p w14:paraId="48757F55" w14:textId="77777777" w:rsidR="0021652D" w:rsidRPr="00B415E3" w:rsidRDefault="001B2301">
            <w:pPr>
              <w:spacing w:before="0"/>
              <w:jc w:val="right"/>
              <w:rPr>
                <w:b/>
              </w:rPr>
            </w:pPr>
            <w:r w:rsidRPr="00B415E3">
              <w:rPr>
                <w:b/>
              </w:rPr>
              <w:t>0,88</w:t>
            </w:r>
          </w:p>
          <w:p w14:paraId="5EA2B9B7" w14:textId="77777777" w:rsidR="0021652D" w:rsidRPr="00B415E3" w:rsidRDefault="001B2301">
            <w:pPr>
              <w:spacing w:before="0"/>
              <w:jc w:val="right"/>
            </w:pPr>
            <w:r w:rsidRPr="00B415E3">
              <w:rPr>
                <w:b/>
              </w:rPr>
              <w:t>0,86</w:t>
            </w:r>
          </w:p>
        </w:tc>
        <w:tc>
          <w:tcPr>
            <w:tcW w:w="784" w:type="dxa"/>
            <w:tcBorders>
              <w:top w:val="nil"/>
              <w:left w:val="nil"/>
              <w:bottom w:val="nil"/>
              <w:right w:val="nil"/>
            </w:tcBorders>
          </w:tcPr>
          <w:p w14:paraId="23BB9985" w14:textId="77777777" w:rsidR="0021652D" w:rsidRPr="00B415E3" w:rsidRDefault="001B2301">
            <w:pPr>
              <w:spacing w:before="0"/>
              <w:jc w:val="right"/>
            </w:pPr>
            <w:r w:rsidRPr="00B415E3">
              <w:t>0.62</w:t>
            </w:r>
          </w:p>
          <w:p w14:paraId="6EFD3657" w14:textId="77777777" w:rsidR="0021652D" w:rsidRPr="00B415E3" w:rsidRDefault="001B2301">
            <w:pPr>
              <w:spacing w:before="0"/>
              <w:jc w:val="right"/>
            </w:pPr>
            <w:r w:rsidRPr="00B415E3">
              <w:t>0.63</w:t>
            </w:r>
          </w:p>
          <w:p w14:paraId="031A9C33" w14:textId="77777777" w:rsidR="0021652D" w:rsidRPr="00B415E3" w:rsidRDefault="001B2301">
            <w:pPr>
              <w:spacing w:before="0"/>
              <w:jc w:val="right"/>
            </w:pPr>
            <w:r w:rsidRPr="00B415E3">
              <w:t>0.56</w:t>
            </w:r>
          </w:p>
          <w:p w14:paraId="2EE6F5EB" w14:textId="77777777" w:rsidR="0021652D" w:rsidRPr="00B415E3" w:rsidRDefault="001B2301">
            <w:pPr>
              <w:spacing w:before="0"/>
              <w:jc w:val="right"/>
            </w:pPr>
            <w:r w:rsidRPr="00B415E3">
              <w:t>0.66</w:t>
            </w:r>
          </w:p>
        </w:tc>
        <w:tc>
          <w:tcPr>
            <w:tcW w:w="784" w:type="dxa"/>
            <w:tcBorders>
              <w:top w:val="nil"/>
              <w:left w:val="nil"/>
              <w:bottom w:val="nil"/>
              <w:right w:val="nil"/>
            </w:tcBorders>
          </w:tcPr>
          <w:p w14:paraId="6D750459" w14:textId="77777777" w:rsidR="0021652D" w:rsidRPr="00B415E3" w:rsidRDefault="001B2301">
            <w:pPr>
              <w:spacing w:before="0"/>
              <w:jc w:val="right"/>
            </w:pPr>
            <w:r w:rsidRPr="00B415E3">
              <w:t>0,71</w:t>
            </w:r>
          </w:p>
          <w:p w14:paraId="3D34C238" w14:textId="77777777" w:rsidR="0021652D" w:rsidRPr="00B415E3" w:rsidRDefault="001B2301">
            <w:pPr>
              <w:spacing w:before="0"/>
              <w:jc w:val="right"/>
            </w:pPr>
            <w:r w:rsidRPr="00B415E3">
              <w:t>0,73</w:t>
            </w:r>
          </w:p>
          <w:p w14:paraId="2C0BA9CC" w14:textId="77777777" w:rsidR="0021652D" w:rsidRPr="00B415E3" w:rsidRDefault="001B2301">
            <w:pPr>
              <w:spacing w:before="0"/>
              <w:jc w:val="right"/>
            </w:pPr>
            <w:r w:rsidRPr="00B415E3">
              <w:t>0,62</w:t>
            </w:r>
          </w:p>
          <w:p w14:paraId="567DCD93" w14:textId="77777777" w:rsidR="0021652D" w:rsidRPr="00B415E3" w:rsidRDefault="001B2301">
            <w:pPr>
              <w:spacing w:before="0"/>
              <w:jc w:val="right"/>
            </w:pPr>
            <w:r w:rsidRPr="00B415E3">
              <w:t>0,62</w:t>
            </w:r>
          </w:p>
        </w:tc>
      </w:tr>
      <w:tr w:rsidR="00B415E3" w:rsidRPr="00B415E3" w14:paraId="7360EA06" w14:textId="77777777">
        <w:tc>
          <w:tcPr>
            <w:tcW w:w="820" w:type="dxa"/>
            <w:tcBorders>
              <w:top w:val="nil"/>
              <w:left w:val="nil"/>
              <w:bottom w:val="nil"/>
              <w:right w:val="single" w:sz="4" w:space="0" w:color="000000"/>
            </w:tcBorders>
          </w:tcPr>
          <w:p w14:paraId="63CD6596" w14:textId="77777777" w:rsidR="0021652D" w:rsidRPr="00B415E3" w:rsidRDefault="001B2301">
            <w:pPr>
              <w:spacing w:before="0"/>
            </w:pPr>
            <w:r w:rsidRPr="00B415E3">
              <w:t>CI1</w:t>
            </w:r>
          </w:p>
          <w:p w14:paraId="59BF0F38" w14:textId="77777777" w:rsidR="0021652D" w:rsidRPr="00B415E3" w:rsidRDefault="001B2301">
            <w:pPr>
              <w:spacing w:before="0"/>
            </w:pPr>
            <w:r w:rsidRPr="00B415E3">
              <w:t>CI2</w:t>
            </w:r>
          </w:p>
          <w:p w14:paraId="11B7CE7C" w14:textId="77777777" w:rsidR="0021652D" w:rsidRPr="00B415E3" w:rsidRDefault="001B2301">
            <w:pPr>
              <w:spacing w:before="0"/>
            </w:pPr>
            <w:r w:rsidRPr="00B415E3">
              <w:t>CI3</w:t>
            </w:r>
          </w:p>
        </w:tc>
        <w:tc>
          <w:tcPr>
            <w:tcW w:w="699" w:type="dxa"/>
            <w:tcBorders>
              <w:top w:val="nil"/>
              <w:left w:val="single" w:sz="4" w:space="0" w:color="000000"/>
              <w:bottom w:val="nil"/>
              <w:right w:val="nil"/>
            </w:tcBorders>
          </w:tcPr>
          <w:p w14:paraId="5379172E" w14:textId="77777777" w:rsidR="0021652D" w:rsidRPr="00B415E3" w:rsidRDefault="001B2301">
            <w:pPr>
              <w:spacing w:before="0"/>
              <w:jc w:val="right"/>
            </w:pPr>
            <w:r w:rsidRPr="00B415E3">
              <w:t>2.72</w:t>
            </w:r>
          </w:p>
          <w:p w14:paraId="677B1906" w14:textId="77777777" w:rsidR="0021652D" w:rsidRPr="00B415E3" w:rsidRDefault="001B2301">
            <w:pPr>
              <w:spacing w:before="0"/>
              <w:jc w:val="right"/>
            </w:pPr>
            <w:r w:rsidRPr="00B415E3">
              <w:t>2.62</w:t>
            </w:r>
          </w:p>
          <w:p w14:paraId="787BE8CC" w14:textId="77777777" w:rsidR="0021652D" w:rsidRPr="00B415E3" w:rsidRDefault="001B2301">
            <w:pPr>
              <w:spacing w:before="0"/>
              <w:jc w:val="right"/>
            </w:pPr>
            <w:r w:rsidRPr="00B415E3">
              <w:t>1.56</w:t>
            </w:r>
          </w:p>
        </w:tc>
        <w:tc>
          <w:tcPr>
            <w:tcW w:w="785" w:type="dxa"/>
            <w:tcBorders>
              <w:top w:val="nil"/>
              <w:left w:val="nil"/>
              <w:bottom w:val="nil"/>
              <w:right w:val="nil"/>
            </w:tcBorders>
          </w:tcPr>
          <w:p w14:paraId="449ED059" w14:textId="77777777" w:rsidR="0021652D" w:rsidRPr="00B415E3" w:rsidRDefault="001B2301">
            <w:pPr>
              <w:spacing w:before="0"/>
              <w:jc w:val="right"/>
            </w:pPr>
            <w:r w:rsidRPr="00B415E3">
              <w:t>0,50</w:t>
            </w:r>
          </w:p>
          <w:p w14:paraId="1BABB216" w14:textId="77777777" w:rsidR="0021652D" w:rsidRPr="00B415E3" w:rsidRDefault="001B2301">
            <w:pPr>
              <w:spacing w:before="0"/>
              <w:jc w:val="right"/>
            </w:pPr>
            <w:r w:rsidRPr="00B415E3">
              <w:t>0,54</w:t>
            </w:r>
          </w:p>
          <w:p w14:paraId="24DBC1F9" w14:textId="77777777" w:rsidR="0021652D" w:rsidRPr="00B415E3" w:rsidRDefault="001B2301">
            <w:pPr>
              <w:spacing w:before="0"/>
              <w:jc w:val="right"/>
            </w:pPr>
            <w:r w:rsidRPr="00B415E3">
              <w:t>0,30</w:t>
            </w:r>
          </w:p>
        </w:tc>
        <w:tc>
          <w:tcPr>
            <w:tcW w:w="785" w:type="dxa"/>
            <w:tcBorders>
              <w:top w:val="nil"/>
              <w:left w:val="nil"/>
              <w:bottom w:val="nil"/>
              <w:right w:val="nil"/>
            </w:tcBorders>
          </w:tcPr>
          <w:p w14:paraId="1DAD27FA" w14:textId="77777777" w:rsidR="0021652D" w:rsidRPr="00B415E3" w:rsidRDefault="001B2301">
            <w:pPr>
              <w:spacing w:before="0"/>
              <w:jc w:val="right"/>
            </w:pPr>
            <w:r w:rsidRPr="00B415E3">
              <w:t>-0,36</w:t>
            </w:r>
          </w:p>
          <w:p w14:paraId="16E37658" w14:textId="77777777" w:rsidR="0021652D" w:rsidRPr="00B415E3" w:rsidRDefault="001B2301">
            <w:pPr>
              <w:spacing w:before="0"/>
              <w:jc w:val="right"/>
            </w:pPr>
            <w:r w:rsidRPr="00B415E3">
              <w:t>-0,29</w:t>
            </w:r>
          </w:p>
          <w:p w14:paraId="2F3FBD40" w14:textId="77777777" w:rsidR="0021652D" w:rsidRPr="00B415E3" w:rsidRDefault="001B2301">
            <w:pPr>
              <w:spacing w:before="0"/>
              <w:jc w:val="right"/>
            </w:pPr>
            <w:r w:rsidRPr="00B415E3">
              <w:t>-0,19</w:t>
            </w:r>
          </w:p>
        </w:tc>
        <w:tc>
          <w:tcPr>
            <w:tcW w:w="784" w:type="dxa"/>
            <w:tcBorders>
              <w:top w:val="nil"/>
              <w:left w:val="nil"/>
              <w:bottom w:val="nil"/>
              <w:right w:val="nil"/>
            </w:tcBorders>
          </w:tcPr>
          <w:p w14:paraId="3B4C0B54" w14:textId="77777777" w:rsidR="0021652D" w:rsidRPr="00B415E3" w:rsidRDefault="001B2301">
            <w:pPr>
              <w:spacing w:before="0"/>
              <w:jc w:val="right"/>
            </w:pPr>
            <w:r w:rsidRPr="00B415E3">
              <w:t>-0,46</w:t>
            </w:r>
          </w:p>
          <w:p w14:paraId="6F5B6F80" w14:textId="77777777" w:rsidR="0021652D" w:rsidRPr="00B415E3" w:rsidRDefault="001B2301">
            <w:pPr>
              <w:spacing w:before="0"/>
              <w:jc w:val="right"/>
            </w:pPr>
            <w:r w:rsidRPr="00B415E3">
              <w:t>-0,41</w:t>
            </w:r>
          </w:p>
          <w:p w14:paraId="21D18779" w14:textId="77777777" w:rsidR="0021652D" w:rsidRPr="00B415E3" w:rsidRDefault="001B2301">
            <w:pPr>
              <w:spacing w:before="0"/>
              <w:jc w:val="right"/>
            </w:pPr>
            <w:r w:rsidRPr="00B415E3">
              <w:t>-0,27</w:t>
            </w:r>
          </w:p>
        </w:tc>
        <w:tc>
          <w:tcPr>
            <w:tcW w:w="784" w:type="dxa"/>
            <w:tcBorders>
              <w:top w:val="nil"/>
              <w:left w:val="nil"/>
              <w:bottom w:val="nil"/>
              <w:right w:val="nil"/>
            </w:tcBorders>
          </w:tcPr>
          <w:p w14:paraId="7E46FE1A" w14:textId="77777777" w:rsidR="0021652D" w:rsidRPr="00B415E3" w:rsidRDefault="001B2301">
            <w:pPr>
              <w:spacing w:before="0"/>
              <w:jc w:val="right"/>
            </w:pPr>
            <w:r w:rsidRPr="00B415E3">
              <w:t>0,59</w:t>
            </w:r>
          </w:p>
          <w:p w14:paraId="048F20C9" w14:textId="77777777" w:rsidR="0021652D" w:rsidRPr="00B415E3" w:rsidRDefault="001B2301">
            <w:pPr>
              <w:spacing w:before="0"/>
              <w:jc w:val="right"/>
            </w:pPr>
            <w:r w:rsidRPr="00B415E3">
              <w:t>0,52</w:t>
            </w:r>
          </w:p>
          <w:p w14:paraId="01E983E2" w14:textId="77777777" w:rsidR="0021652D" w:rsidRPr="00B415E3" w:rsidRDefault="001B2301">
            <w:pPr>
              <w:spacing w:before="0"/>
              <w:jc w:val="right"/>
            </w:pPr>
            <w:r w:rsidRPr="00B415E3">
              <w:t>0,41</w:t>
            </w:r>
          </w:p>
        </w:tc>
        <w:tc>
          <w:tcPr>
            <w:tcW w:w="784" w:type="dxa"/>
            <w:tcBorders>
              <w:top w:val="nil"/>
              <w:left w:val="nil"/>
              <w:bottom w:val="nil"/>
              <w:right w:val="nil"/>
            </w:tcBorders>
          </w:tcPr>
          <w:p w14:paraId="767525CD" w14:textId="77777777" w:rsidR="0021652D" w:rsidRPr="00B415E3" w:rsidRDefault="001B2301">
            <w:pPr>
              <w:spacing w:before="0"/>
              <w:jc w:val="right"/>
            </w:pPr>
            <w:r w:rsidRPr="00B415E3">
              <w:t>0,66</w:t>
            </w:r>
          </w:p>
          <w:p w14:paraId="07382C3B" w14:textId="77777777" w:rsidR="0021652D" w:rsidRPr="00B415E3" w:rsidRDefault="001B2301">
            <w:pPr>
              <w:spacing w:before="0"/>
              <w:jc w:val="right"/>
            </w:pPr>
            <w:r w:rsidRPr="00B415E3">
              <w:t>0,59</w:t>
            </w:r>
          </w:p>
          <w:p w14:paraId="11057621" w14:textId="77777777" w:rsidR="0021652D" w:rsidRPr="00B415E3" w:rsidRDefault="001B2301">
            <w:pPr>
              <w:spacing w:before="0"/>
              <w:jc w:val="right"/>
            </w:pPr>
            <w:r w:rsidRPr="00B415E3">
              <w:t>0,44</w:t>
            </w:r>
          </w:p>
        </w:tc>
        <w:tc>
          <w:tcPr>
            <w:tcW w:w="784" w:type="dxa"/>
            <w:tcBorders>
              <w:top w:val="nil"/>
              <w:left w:val="nil"/>
              <w:bottom w:val="nil"/>
              <w:right w:val="nil"/>
            </w:tcBorders>
          </w:tcPr>
          <w:p w14:paraId="1991874A" w14:textId="77777777" w:rsidR="0021652D" w:rsidRPr="00B415E3" w:rsidRDefault="001B2301">
            <w:pPr>
              <w:spacing w:before="0"/>
              <w:jc w:val="right"/>
            </w:pPr>
            <w:r w:rsidRPr="00B415E3">
              <w:t>0,68</w:t>
            </w:r>
          </w:p>
          <w:p w14:paraId="7EFFD74E" w14:textId="77777777" w:rsidR="0021652D" w:rsidRPr="00B415E3" w:rsidRDefault="001B2301">
            <w:pPr>
              <w:spacing w:before="0"/>
              <w:jc w:val="right"/>
            </w:pPr>
            <w:r w:rsidRPr="00B415E3">
              <w:t>0,69</w:t>
            </w:r>
          </w:p>
          <w:p w14:paraId="37F3B8BB" w14:textId="77777777" w:rsidR="0021652D" w:rsidRPr="00B415E3" w:rsidRDefault="001B2301">
            <w:pPr>
              <w:spacing w:before="0"/>
              <w:jc w:val="right"/>
            </w:pPr>
            <w:r w:rsidRPr="00B415E3">
              <w:t>0,46</w:t>
            </w:r>
          </w:p>
        </w:tc>
        <w:tc>
          <w:tcPr>
            <w:tcW w:w="784" w:type="dxa"/>
            <w:tcBorders>
              <w:top w:val="nil"/>
              <w:left w:val="nil"/>
              <w:bottom w:val="nil"/>
              <w:right w:val="nil"/>
            </w:tcBorders>
          </w:tcPr>
          <w:p w14:paraId="1C02BF45" w14:textId="77777777" w:rsidR="0021652D" w:rsidRPr="00B415E3" w:rsidRDefault="001B2301">
            <w:pPr>
              <w:spacing w:before="0"/>
              <w:jc w:val="right"/>
              <w:rPr>
                <w:b/>
              </w:rPr>
            </w:pPr>
            <w:r w:rsidRPr="00B415E3">
              <w:rPr>
                <w:b/>
              </w:rPr>
              <w:t>0.91</w:t>
            </w:r>
          </w:p>
          <w:p w14:paraId="30706BAC" w14:textId="77777777" w:rsidR="0021652D" w:rsidRPr="00B415E3" w:rsidRDefault="001B2301">
            <w:pPr>
              <w:spacing w:before="0"/>
              <w:jc w:val="right"/>
              <w:rPr>
                <w:b/>
              </w:rPr>
            </w:pPr>
            <w:r w:rsidRPr="00B415E3">
              <w:rPr>
                <w:b/>
              </w:rPr>
              <w:t>0.91</w:t>
            </w:r>
          </w:p>
          <w:p w14:paraId="63DF6266" w14:textId="77777777" w:rsidR="0021652D" w:rsidRPr="00B415E3" w:rsidRDefault="001B2301">
            <w:pPr>
              <w:spacing w:before="0"/>
              <w:jc w:val="right"/>
            </w:pPr>
            <w:r w:rsidRPr="00B415E3">
              <w:rPr>
                <w:b/>
              </w:rPr>
              <w:t>0.78</w:t>
            </w:r>
          </w:p>
        </w:tc>
        <w:tc>
          <w:tcPr>
            <w:tcW w:w="784" w:type="dxa"/>
            <w:tcBorders>
              <w:top w:val="nil"/>
              <w:left w:val="nil"/>
              <w:bottom w:val="nil"/>
              <w:right w:val="nil"/>
            </w:tcBorders>
          </w:tcPr>
          <w:p w14:paraId="0BCED6BF" w14:textId="77777777" w:rsidR="0021652D" w:rsidRPr="00B415E3" w:rsidRDefault="001B2301">
            <w:pPr>
              <w:spacing w:before="0"/>
              <w:jc w:val="right"/>
            </w:pPr>
            <w:r w:rsidRPr="00B415E3">
              <w:t>0,72</w:t>
            </w:r>
          </w:p>
          <w:p w14:paraId="19112240" w14:textId="77777777" w:rsidR="0021652D" w:rsidRPr="00B415E3" w:rsidRDefault="001B2301">
            <w:pPr>
              <w:spacing w:before="0"/>
              <w:jc w:val="right"/>
            </w:pPr>
            <w:r w:rsidRPr="00B415E3">
              <w:t>0,77</w:t>
            </w:r>
          </w:p>
          <w:p w14:paraId="415BA1F4" w14:textId="77777777" w:rsidR="0021652D" w:rsidRPr="00B415E3" w:rsidRDefault="001B2301">
            <w:pPr>
              <w:spacing w:before="0"/>
              <w:jc w:val="right"/>
            </w:pPr>
            <w:r w:rsidRPr="00B415E3">
              <w:t>0,49</w:t>
            </w:r>
          </w:p>
        </w:tc>
      </w:tr>
      <w:tr w:rsidR="0021652D" w:rsidRPr="00B415E3" w14:paraId="1A2605EB" w14:textId="77777777">
        <w:tc>
          <w:tcPr>
            <w:tcW w:w="820" w:type="dxa"/>
            <w:tcBorders>
              <w:top w:val="nil"/>
              <w:left w:val="nil"/>
              <w:bottom w:val="single" w:sz="4" w:space="0" w:color="000000"/>
              <w:right w:val="single" w:sz="4" w:space="0" w:color="000000"/>
            </w:tcBorders>
          </w:tcPr>
          <w:p w14:paraId="67FEE6F5" w14:textId="77777777" w:rsidR="0021652D" w:rsidRPr="00B415E3" w:rsidRDefault="001B2301">
            <w:pPr>
              <w:spacing w:before="0"/>
            </w:pPr>
            <w:r w:rsidRPr="00B415E3">
              <w:t>T1</w:t>
            </w:r>
          </w:p>
        </w:tc>
        <w:tc>
          <w:tcPr>
            <w:tcW w:w="699" w:type="dxa"/>
            <w:tcBorders>
              <w:top w:val="nil"/>
              <w:left w:val="single" w:sz="4" w:space="0" w:color="000000"/>
              <w:bottom w:val="single" w:sz="4" w:space="0" w:color="000000"/>
              <w:right w:val="nil"/>
            </w:tcBorders>
          </w:tcPr>
          <w:p w14:paraId="38EF2BBB" w14:textId="77777777" w:rsidR="0021652D" w:rsidRPr="00B415E3" w:rsidRDefault="001B2301">
            <w:pPr>
              <w:spacing w:before="0"/>
              <w:jc w:val="right"/>
            </w:pPr>
            <w:r w:rsidRPr="00B415E3">
              <w:t>1.00</w:t>
            </w:r>
          </w:p>
        </w:tc>
        <w:tc>
          <w:tcPr>
            <w:tcW w:w="785" w:type="dxa"/>
            <w:tcBorders>
              <w:top w:val="nil"/>
              <w:left w:val="nil"/>
              <w:bottom w:val="single" w:sz="4" w:space="0" w:color="000000"/>
              <w:right w:val="nil"/>
            </w:tcBorders>
          </w:tcPr>
          <w:p w14:paraId="4A6D7FE5" w14:textId="77777777" w:rsidR="0021652D" w:rsidRPr="00B415E3" w:rsidRDefault="001B2301">
            <w:pPr>
              <w:spacing w:before="0"/>
              <w:jc w:val="right"/>
            </w:pPr>
            <w:r w:rsidRPr="00B415E3">
              <w:t>0,58</w:t>
            </w:r>
          </w:p>
        </w:tc>
        <w:tc>
          <w:tcPr>
            <w:tcW w:w="785" w:type="dxa"/>
            <w:tcBorders>
              <w:top w:val="nil"/>
              <w:left w:val="nil"/>
              <w:bottom w:val="single" w:sz="4" w:space="0" w:color="000000"/>
              <w:right w:val="nil"/>
            </w:tcBorders>
          </w:tcPr>
          <w:p w14:paraId="65D061A9" w14:textId="77777777" w:rsidR="0021652D" w:rsidRPr="00B415E3" w:rsidRDefault="001B2301">
            <w:pPr>
              <w:spacing w:before="0"/>
              <w:jc w:val="right"/>
            </w:pPr>
            <w:r w:rsidRPr="00B415E3">
              <w:t>-0,42</w:t>
            </w:r>
          </w:p>
        </w:tc>
        <w:tc>
          <w:tcPr>
            <w:tcW w:w="784" w:type="dxa"/>
            <w:tcBorders>
              <w:top w:val="nil"/>
              <w:left w:val="nil"/>
              <w:bottom w:val="single" w:sz="4" w:space="0" w:color="000000"/>
              <w:right w:val="nil"/>
            </w:tcBorders>
          </w:tcPr>
          <w:p w14:paraId="063F78B3" w14:textId="77777777" w:rsidR="0021652D" w:rsidRPr="00B415E3" w:rsidRDefault="001B2301">
            <w:pPr>
              <w:spacing w:before="0"/>
              <w:jc w:val="right"/>
            </w:pPr>
            <w:r w:rsidRPr="00B415E3">
              <w:t>-0,49</w:t>
            </w:r>
          </w:p>
        </w:tc>
        <w:tc>
          <w:tcPr>
            <w:tcW w:w="784" w:type="dxa"/>
            <w:tcBorders>
              <w:top w:val="nil"/>
              <w:left w:val="nil"/>
              <w:bottom w:val="single" w:sz="4" w:space="0" w:color="000000"/>
              <w:right w:val="nil"/>
            </w:tcBorders>
          </w:tcPr>
          <w:p w14:paraId="4C061882" w14:textId="77777777" w:rsidR="0021652D" w:rsidRPr="00B415E3" w:rsidRDefault="001B2301">
            <w:pPr>
              <w:spacing w:before="0"/>
              <w:jc w:val="right"/>
            </w:pPr>
            <w:r w:rsidRPr="00B415E3">
              <w:t>0,63</w:t>
            </w:r>
          </w:p>
        </w:tc>
        <w:tc>
          <w:tcPr>
            <w:tcW w:w="784" w:type="dxa"/>
            <w:tcBorders>
              <w:top w:val="nil"/>
              <w:left w:val="nil"/>
              <w:bottom w:val="single" w:sz="4" w:space="0" w:color="000000"/>
              <w:right w:val="nil"/>
            </w:tcBorders>
          </w:tcPr>
          <w:p w14:paraId="20E716E2" w14:textId="77777777" w:rsidR="0021652D" w:rsidRPr="00B415E3" w:rsidRDefault="001B2301">
            <w:pPr>
              <w:spacing w:before="0"/>
              <w:jc w:val="right"/>
            </w:pPr>
            <w:r w:rsidRPr="00B415E3">
              <w:t>0,67</w:t>
            </w:r>
          </w:p>
        </w:tc>
        <w:tc>
          <w:tcPr>
            <w:tcW w:w="784" w:type="dxa"/>
            <w:tcBorders>
              <w:top w:val="nil"/>
              <w:left w:val="nil"/>
              <w:bottom w:val="single" w:sz="4" w:space="0" w:color="000000"/>
              <w:right w:val="nil"/>
            </w:tcBorders>
          </w:tcPr>
          <w:p w14:paraId="5C65A5E8" w14:textId="77777777" w:rsidR="0021652D" w:rsidRPr="00B415E3" w:rsidRDefault="001B2301">
            <w:pPr>
              <w:spacing w:before="0"/>
              <w:jc w:val="right"/>
            </w:pPr>
            <w:r w:rsidRPr="00B415E3">
              <w:t>0,77</w:t>
            </w:r>
          </w:p>
        </w:tc>
        <w:tc>
          <w:tcPr>
            <w:tcW w:w="784" w:type="dxa"/>
            <w:tcBorders>
              <w:top w:val="nil"/>
              <w:left w:val="nil"/>
              <w:bottom w:val="single" w:sz="4" w:space="0" w:color="000000"/>
              <w:right w:val="nil"/>
            </w:tcBorders>
          </w:tcPr>
          <w:p w14:paraId="429A8BE6" w14:textId="77777777" w:rsidR="0021652D" w:rsidRPr="00B415E3" w:rsidRDefault="001B2301">
            <w:pPr>
              <w:spacing w:before="0"/>
              <w:jc w:val="right"/>
            </w:pPr>
            <w:r w:rsidRPr="00B415E3">
              <w:t>0.77</w:t>
            </w:r>
          </w:p>
        </w:tc>
        <w:tc>
          <w:tcPr>
            <w:tcW w:w="784" w:type="dxa"/>
            <w:tcBorders>
              <w:top w:val="nil"/>
              <w:left w:val="nil"/>
              <w:bottom w:val="single" w:sz="4" w:space="0" w:color="000000"/>
              <w:right w:val="nil"/>
            </w:tcBorders>
          </w:tcPr>
          <w:p w14:paraId="3DF5CF7F" w14:textId="77777777" w:rsidR="0021652D" w:rsidRPr="00B415E3" w:rsidRDefault="001B2301">
            <w:pPr>
              <w:spacing w:before="0"/>
              <w:jc w:val="right"/>
            </w:pPr>
            <w:r w:rsidRPr="00B415E3">
              <w:rPr>
                <w:b/>
              </w:rPr>
              <w:t>1,00</w:t>
            </w:r>
          </w:p>
        </w:tc>
      </w:tr>
    </w:tbl>
    <w:p w14:paraId="3FBDC67D" w14:textId="77777777" w:rsidR="0021652D" w:rsidRPr="00B415E3" w:rsidRDefault="0021652D"/>
    <w:p w14:paraId="6E747323" w14:textId="1DF64867" w:rsidR="0021652D" w:rsidRPr="00B415E3" w:rsidRDefault="001B2301">
      <w:pPr>
        <w:pStyle w:val="Heading1"/>
        <w:rPr>
          <w:color w:val="auto"/>
        </w:rPr>
      </w:pPr>
      <w:r w:rsidRPr="00B415E3">
        <w:rPr>
          <w:color w:val="auto"/>
        </w:rPr>
        <w:t xml:space="preserve">Appendix C </w:t>
      </w:r>
    </w:p>
    <w:p w14:paraId="0471FBBB" w14:textId="77777777" w:rsidR="0021652D" w:rsidRPr="00B415E3" w:rsidRDefault="001B2301">
      <w:pPr>
        <w:spacing w:before="0"/>
        <w:jc w:val="left"/>
      </w:pPr>
      <w:r w:rsidRPr="00B415E3">
        <w:t>Discriminant results - Heterotrait–Monotrait Ratio (HTMT)</w:t>
      </w:r>
    </w:p>
    <w:tbl>
      <w:tblPr>
        <w:tblStyle w:val="af2"/>
        <w:tblW w:w="7644"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49"/>
        <w:gridCol w:w="849"/>
        <w:gridCol w:w="849"/>
        <w:gridCol w:w="849"/>
        <w:gridCol w:w="849"/>
        <w:gridCol w:w="849"/>
        <w:gridCol w:w="850"/>
        <w:gridCol w:w="850"/>
        <w:gridCol w:w="850"/>
      </w:tblGrid>
      <w:tr w:rsidR="00B415E3" w:rsidRPr="00B415E3" w14:paraId="3A835D39" w14:textId="77777777">
        <w:tc>
          <w:tcPr>
            <w:tcW w:w="849" w:type="dxa"/>
            <w:tcBorders>
              <w:top w:val="single" w:sz="4" w:space="0" w:color="000000"/>
              <w:bottom w:val="single" w:sz="4" w:space="0" w:color="000000"/>
              <w:right w:val="single" w:sz="4" w:space="0" w:color="000000"/>
            </w:tcBorders>
          </w:tcPr>
          <w:p w14:paraId="23D2EBB5" w14:textId="77777777" w:rsidR="0021652D" w:rsidRPr="00B415E3" w:rsidRDefault="0021652D">
            <w:pPr>
              <w:spacing w:before="0"/>
              <w:jc w:val="left"/>
            </w:pPr>
          </w:p>
        </w:tc>
        <w:tc>
          <w:tcPr>
            <w:tcW w:w="849" w:type="dxa"/>
            <w:tcBorders>
              <w:top w:val="single" w:sz="4" w:space="0" w:color="000000"/>
              <w:left w:val="single" w:sz="4" w:space="0" w:color="000000"/>
              <w:bottom w:val="single" w:sz="4" w:space="0" w:color="000000"/>
            </w:tcBorders>
          </w:tcPr>
          <w:p w14:paraId="6DA95020" w14:textId="77777777" w:rsidR="0021652D" w:rsidRPr="00B415E3" w:rsidRDefault="001B2301">
            <w:pPr>
              <w:spacing w:before="0"/>
              <w:jc w:val="left"/>
            </w:pPr>
            <w:r w:rsidRPr="00B415E3">
              <w:t>UI</w:t>
            </w:r>
          </w:p>
        </w:tc>
        <w:tc>
          <w:tcPr>
            <w:tcW w:w="849" w:type="dxa"/>
            <w:tcBorders>
              <w:top w:val="single" w:sz="4" w:space="0" w:color="000000"/>
              <w:bottom w:val="single" w:sz="4" w:space="0" w:color="000000"/>
            </w:tcBorders>
          </w:tcPr>
          <w:p w14:paraId="1373BF82" w14:textId="77777777" w:rsidR="0021652D" w:rsidRPr="00B415E3" w:rsidRDefault="001B2301">
            <w:pPr>
              <w:spacing w:before="0"/>
              <w:jc w:val="left"/>
            </w:pPr>
            <w:r w:rsidRPr="00B415E3">
              <w:t>UC</w:t>
            </w:r>
          </w:p>
        </w:tc>
        <w:tc>
          <w:tcPr>
            <w:tcW w:w="849" w:type="dxa"/>
            <w:tcBorders>
              <w:top w:val="single" w:sz="4" w:space="0" w:color="000000"/>
              <w:bottom w:val="single" w:sz="4" w:space="0" w:color="000000"/>
            </w:tcBorders>
          </w:tcPr>
          <w:p w14:paraId="5A8696A5" w14:textId="77777777" w:rsidR="0021652D" w:rsidRPr="00B415E3" w:rsidRDefault="001B2301">
            <w:pPr>
              <w:spacing w:before="0"/>
              <w:jc w:val="left"/>
            </w:pPr>
            <w:r w:rsidRPr="00B415E3">
              <w:t>DI</w:t>
            </w:r>
          </w:p>
        </w:tc>
        <w:tc>
          <w:tcPr>
            <w:tcW w:w="849" w:type="dxa"/>
            <w:tcBorders>
              <w:top w:val="single" w:sz="4" w:space="0" w:color="000000"/>
              <w:bottom w:val="single" w:sz="4" w:space="0" w:color="000000"/>
            </w:tcBorders>
          </w:tcPr>
          <w:p w14:paraId="784E2F86" w14:textId="77777777" w:rsidR="0021652D" w:rsidRPr="00B415E3" w:rsidRDefault="001B2301">
            <w:pPr>
              <w:spacing w:before="0"/>
              <w:jc w:val="left"/>
            </w:pPr>
            <w:r w:rsidRPr="00B415E3">
              <w:t>DC</w:t>
            </w:r>
          </w:p>
        </w:tc>
        <w:tc>
          <w:tcPr>
            <w:tcW w:w="849" w:type="dxa"/>
            <w:tcBorders>
              <w:top w:val="single" w:sz="4" w:space="0" w:color="000000"/>
              <w:bottom w:val="single" w:sz="4" w:space="0" w:color="000000"/>
            </w:tcBorders>
          </w:tcPr>
          <w:p w14:paraId="6A8223FC" w14:textId="77777777" w:rsidR="0021652D" w:rsidRPr="00B415E3" w:rsidRDefault="001B2301">
            <w:pPr>
              <w:spacing w:before="0"/>
              <w:jc w:val="left"/>
            </w:pPr>
            <w:r w:rsidRPr="00B415E3">
              <w:t>SE</w:t>
            </w:r>
          </w:p>
        </w:tc>
        <w:tc>
          <w:tcPr>
            <w:tcW w:w="850" w:type="dxa"/>
            <w:tcBorders>
              <w:top w:val="single" w:sz="4" w:space="0" w:color="000000"/>
              <w:bottom w:val="single" w:sz="4" w:space="0" w:color="000000"/>
            </w:tcBorders>
          </w:tcPr>
          <w:p w14:paraId="1DAB6193" w14:textId="77777777" w:rsidR="0021652D" w:rsidRPr="00B415E3" w:rsidRDefault="001B2301">
            <w:pPr>
              <w:spacing w:before="0"/>
              <w:jc w:val="left"/>
            </w:pPr>
            <w:r w:rsidRPr="00B415E3">
              <w:t>PE</w:t>
            </w:r>
          </w:p>
        </w:tc>
        <w:tc>
          <w:tcPr>
            <w:tcW w:w="850" w:type="dxa"/>
            <w:tcBorders>
              <w:top w:val="single" w:sz="4" w:space="0" w:color="000000"/>
              <w:bottom w:val="single" w:sz="4" w:space="0" w:color="000000"/>
            </w:tcBorders>
          </w:tcPr>
          <w:p w14:paraId="52CB14E0" w14:textId="77777777" w:rsidR="0021652D" w:rsidRPr="00B415E3" w:rsidRDefault="001B2301">
            <w:pPr>
              <w:spacing w:before="0"/>
              <w:jc w:val="left"/>
            </w:pPr>
            <w:r w:rsidRPr="00B415E3">
              <w:t>CI</w:t>
            </w:r>
          </w:p>
        </w:tc>
        <w:tc>
          <w:tcPr>
            <w:tcW w:w="850" w:type="dxa"/>
            <w:tcBorders>
              <w:top w:val="single" w:sz="4" w:space="0" w:color="000000"/>
              <w:bottom w:val="single" w:sz="4" w:space="0" w:color="000000"/>
            </w:tcBorders>
          </w:tcPr>
          <w:p w14:paraId="53ECB25C" w14:textId="77777777" w:rsidR="0021652D" w:rsidRPr="00B415E3" w:rsidRDefault="001B2301">
            <w:pPr>
              <w:spacing w:before="0"/>
              <w:jc w:val="left"/>
            </w:pPr>
            <w:r w:rsidRPr="00B415E3">
              <w:t>T1</w:t>
            </w:r>
          </w:p>
        </w:tc>
      </w:tr>
      <w:tr w:rsidR="00B415E3" w:rsidRPr="00B415E3" w14:paraId="38FA166F" w14:textId="77777777">
        <w:tc>
          <w:tcPr>
            <w:tcW w:w="849" w:type="dxa"/>
            <w:tcBorders>
              <w:top w:val="single" w:sz="4" w:space="0" w:color="000000"/>
              <w:right w:val="single" w:sz="4" w:space="0" w:color="000000"/>
            </w:tcBorders>
          </w:tcPr>
          <w:p w14:paraId="5C9C1977" w14:textId="77777777" w:rsidR="0021652D" w:rsidRPr="00B415E3" w:rsidRDefault="001B2301">
            <w:pPr>
              <w:spacing w:before="0"/>
              <w:jc w:val="left"/>
            </w:pPr>
            <w:r w:rsidRPr="00B415E3">
              <w:t>UI</w:t>
            </w:r>
          </w:p>
        </w:tc>
        <w:tc>
          <w:tcPr>
            <w:tcW w:w="849" w:type="dxa"/>
            <w:tcBorders>
              <w:top w:val="single" w:sz="4" w:space="0" w:color="000000"/>
              <w:left w:val="single" w:sz="4" w:space="0" w:color="000000"/>
            </w:tcBorders>
          </w:tcPr>
          <w:p w14:paraId="6B89C830" w14:textId="77777777" w:rsidR="0021652D" w:rsidRPr="00B415E3" w:rsidRDefault="0021652D">
            <w:pPr>
              <w:spacing w:before="0"/>
              <w:jc w:val="left"/>
            </w:pPr>
          </w:p>
        </w:tc>
        <w:tc>
          <w:tcPr>
            <w:tcW w:w="849" w:type="dxa"/>
            <w:tcBorders>
              <w:top w:val="single" w:sz="4" w:space="0" w:color="000000"/>
            </w:tcBorders>
          </w:tcPr>
          <w:p w14:paraId="1FD1D11A" w14:textId="77777777" w:rsidR="0021652D" w:rsidRPr="00B415E3" w:rsidRDefault="0021652D">
            <w:pPr>
              <w:spacing w:before="0"/>
              <w:jc w:val="left"/>
            </w:pPr>
          </w:p>
        </w:tc>
        <w:tc>
          <w:tcPr>
            <w:tcW w:w="849" w:type="dxa"/>
            <w:tcBorders>
              <w:top w:val="single" w:sz="4" w:space="0" w:color="000000"/>
            </w:tcBorders>
          </w:tcPr>
          <w:p w14:paraId="4F4F8911" w14:textId="77777777" w:rsidR="0021652D" w:rsidRPr="00B415E3" w:rsidRDefault="0021652D">
            <w:pPr>
              <w:spacing w:before="0"/>
              <w:jc w:val="left"/>
            </w:pPr>
          </w:p>
        </w:tc>
        <w:tc>
          <w:tcPr>
            <w:tcW w:w="849" w:type="dxa"/>
            <w:tcBorders>
              <w:top w:val="single" w:sz="4" w:space="0" w:color="000000"/>
            </w:tcBorders>
          </w:tcPr>
          <w:p w14:paraId="394A3AFA" w14:textId="77777777" w:rsidR="0021652D" w:rsidRPr="00B415E3" w:rsidRDefault="0021652D">
            <w:pPr>
              <w:spacing w:before="0"/>
              <w:jc w:val="left"/>
            </w:pPr>
          </w:p>
        </w:tc>
        <w:tc>
          <w:tcPr>
            <w:tcW w:w="849" w:type="dxa"/>
            <w:tcBorders>
              <w:top w:val="single" w:sz="4" w:space="0" w:color="000000"/>
            </w:tcBorders>
          </w:tcPr>
          <w:p w14:paraId="6FC54E93" w14:textId="77777777" w:rsidR="0021652D" w:rsidRPr="00B415E3" w:rsidRDefault="0021652D">
            <w:pPr>
              <w:spacing w:before="0"/>
              <w:jc w:val="left"/>
            </w:pPr>
          </w:p>
        </w:tc>
        <w:tc>
          <w:tcPr>
            <w:tcW w:w="850" w:type="dxa"/>
            <w:tcBorders>
              <w:top w:val="single" w:sz="4" w:space="0" w:color="000000"/>
            </w:tcBorders>
          </w:tcPr>
          <w:p w14:paraId="7F6461B9" w14:textId="77777777" w:rsidR="0021652D" w:rsidRPr="00B415E3" w:rsidRDefault="0021652D">
            <w:pPr>
              <w:spacing w:before="0"/>
              <w:jc w:val="left"/>
            </w:pPr>
          </w:p>
        </w:tc>
        <w:tc>
          <w:tcPr>
            <w:tcW w:w="850" w:type="dxa"/>
            <w:tcBorders>
              <w:top w:val="single" w:sz="4" w:space="0" w:color="000000"/>
            </w:tcBorders>
          </w:tcPr>
          <w:p w14:paraId="4905EE04" w14:textId="77777777" w:rsidR="0021652D" w:rsidRPr="00B415E3" w:rsidRDefault="0021652D">
            <w:pPr>
              <w:spacing w:before="0"/>
              <w:jc w:val="left"/>
            </w:pPr>
          </w:p>
        </w:tc>
        <w:tc>
          <w:tcPr>
            <w:tcW w:w="850" w:type="dxa"/>
            <w:tcBorders>
              <w:top w:val="single" w:sz="4" w:space="0" w:color="000000"/>
            </w:tcBorders>
          </w:tcPr>
          <w:p w14:paraId="0388FA61" w14:textId="77777777" w:rsidR="0021652D" w:rsidRPr="00B415E3" w:rsidRDefault="0021652D">
            <w:pPr>
              <w:spacing w:before="0"/>
              <w:jc w:val="left"/>
            </w:pPr>
          </w:p>
        </w:tc>
      </w:tr>
      <w:tr w:rsidR="00B415E3" w:rsidRPr="00B415E3" w14:paraId="6A7BD887" w14:textId="77777777">
        <w:tc>
          <w:tcPr>
            <w:tcW w:w="849" w:type="dxa"/>
            <w:tcBorders>
              <w:right w:val="single" w:sz="4" w:space="0" w:color="000000"/>
            </w:tcBorders>
          </w:tcPr>
          <w:p w14:paraId="6D3B66D4" w14:textId="77777777" w:rsidR="0021652D" w:rsidRPr="00B415E3" w:rsidRDefault="001B2301">
            <w:pPr>
              <w:spacing w:before="0"/>
              <w:jc w:val="left"/>
            </w:pPr>
            <w:r w:rsidRPr="00B415E3">
              <w:t>UC</w:t>
            </w:r>
          </w:p>
        </w:tc>
        <w:tc>
          <w:tcPr>
            <w:tcW w:w="849" w:type="dxa"/>
            <w:tcBorders>
              <w:left w:val="single" w:sz="4" w:space="0" w:color="000000"/>
            </w:tcBorders>
          </w:tcPr>
          <w:p w14:paraId="1AE4D04C" w14:textId="77777777" w:rsidR="0021652D" w:rsidRPr="00B415E3" w:rsidRDefault="001B2301">
            <w:pPr>
              <w:spacing w:before="0"/>
              <w:jc w:val="left"/>
            </w:pPr>
            <w:r w:rsidRPr="00B415E3">
              <w:t>0.40</w:t>
            </w:r>
          </w:p>
        </w:tc>
        <w:tc>
          <w:tcPr>
            <w:tcW w:w="849" w:type="dxa"/>
          </w:tcPr>
          <w:p w14:paraId="5717C20F" w14:textId="77777777" w:rsidR="0021652D" w:rsidRPr="00B415E3" w:rsidRDefault="0021652D">
            <w:pPr>
              <w:spacing w:before="0"/>
              <w:jc w:val="left"/>
            </w:pPr>
          </w:p>
        </w:tc>
        <w:tc>
          <w:tcPr>
            <w:tcW w:w="849" w:type="dxa"/>
          </w:tcPr>
          <w:p w14:paraId="457C9A1B" w14:textId="77777777" w:rsidR="0021652D" w:rsidRPr="00B415E3" w:rsidRDefault="0021652D">
            <w:pPr>
              <w:spacing w:before="0"/>
              <w:jc w:val="left"/>
            </w:pPr>
          </w:p>
        </w:tc>
        <w:tc>
          <w:tcPr>
            <w:tcW w:w="849" w:type="dxa"/>
          </w:tcPr>
          <w:p w14:paraId="5830E3C9" w14:textId="77777777" w:rsidR="0021652D" w:rsidRPr="00B415E3" w:rsidRDefault="0021652D">
            <w:pPr>
              <w:spacing w:before="0"/>
              <w:jc w:val="left"/>
            </w:pPr>
          </w:p>
        </w:tc>
        <w:tc>
          <w:tcPr>
            <w:tcW w:w="849" w:type="dxa"/>
          </w:tcPr>
          <w:p w14:paraId="669F7806" w14:textId="77777777" w:rsidR="0021652D" w:rsidRPr="00B415E3" w:rsidRDefault="0021652D">
            <w:pPr>
              <w:spacing w:before="0"/>
              <w:jc w:val="left"/>
            </w:pPr>
          </w:p>
        </w:tc>
        <w:tc>
          <w:tcPr>
            <w:tcW w:w="850" w:type="dxa"/>
          </w:tcPr>
          <w:p w14:paraId="0ECC6E80" w14:textId="77777777" w:rsidR="0021652D" w:rsidRPr="00B415E3" w:rsidRDefault="0021652D">
            <w:pPr>
              <w:spacing w:before="0"/>
              <w:jc w:val="left"/>
            </w:pPr>
          </w:p>
        </w:tc>
        <w:tc>
          <w:tcPr>
            <w:tcW w:w="850" w:type="dxa"/>
          </w:tcPr>
          <w:p w14:paraId="53B7E2B1" w14:textId="77777777" w:rsidR="0021652D" w:rsidRPr="00B415E3" w:rsidRDefault="0021652D">
            <w:pPr>
              <w:spacing w:before="0"/>
              <w:jc w:val="left"/>
            </w:pPr>
          </w:p>
        </w:tc>
        <w:tc>
          <w:tcPr>
            <w:tcW w:w="850" w:type="dxa"/>
          </w:tcPr>
          <w:p w14:paraId="508070FF" w14:textId="77777777" w:rsidR="0021652D" w:rsidRPr="00B415E3" w:rsidRDefault="0021652D">
            <w:pPr>
              <w:spacing w:before="0"/>
              <w:jc w:val="left"/>
            </w:pPr>
          </w:p>
        </w:tc>
      </w:tr>
      <w:tr w:rsidR="00B415E3" w:rsidRPr="00B415E3" w14:paraId="26EBA5D9" w14:textId="77777777">
        <w:tc>
          <w:tcPr>
            <w:tcW w:w="849" w:type="dxa"/>
            <w:tcBorders>
              <w:right w:val="single" w:sz="4" w:space="0" w:color="000000"/>
            </w:tcBorders>
          </w:tcPr>
          <w:p w14:paraId="2C2E907B" w14:textId="77777777" w:rsidR="0021652D" w:rsidRPr="00B415E3" w:rsidRDefault="001B2301">
            <w:pPr>
              <w:spacing w:before="0"/>
              <w:jc w:val="left"/>
            </w:pPr>
            <w:r w:rsidRPr="00B415E3">
              <w:t>DI</w:t>
            </w:r>
          </w:p>
        </w:tc>
        <w:tc>
          <w:tcPr>
            <w:tcW w:w="849" w:type="dxa"/>
            <w:tcBorders>
              <w:left w:val="single" w:sz="4" w:space="0" w:color="000000"/>
            </w:tcBorders>
          </w:tcPr>
          <w:p w14:paraId="11698592" w14:textId="77777777" w:rsidR="0021652D" w:rsidRPr="00B415E3" w:rsidRDefault="001B2301">
            <w:pPr>
              <w:spacing w:before="0"/>
              <w:jc w:val="left"/>
            </w:pPr>
            <w:r w:rsidRPr="00B415E3">
              <w:t>0.54</w:t>
            </w:r>
          </w:p>
        </w:tc>
        <w:tc>
          <w:tcPr>
            <w:tcW w:w="849" w:type="dxa"/>
          </w:tcPr>
          <w:p w14:paraId="1835DF13" w14:textId="77777777" w:rsidR="0021652D" w:rsidRPr="00B415E3" w:rsidRDefault="001B2301">
            <w:pPr>
              <w:spacing w:before="0"/>
              <w:jc w:val="left"/>
            </w:pPr>
            <w:r w:rsidRPr="00B415E3">
              <w:t>0.43</w:t>
            </w:r>
          </w:p>
        </w:tc>
        <w:tc>
          <w:tcPr>
            <w:tcW w:w="849" w:type="dxa"/>
          </w:tcPr>
          <w:p w14:paraId="65BB95BF" w14:textId="77777777" w:rsidR="0021652D" w:rsidRPr="00B415E3" w:rsidRDefault="0021652D">
            <w:pPr>
              <w:spacing w:before="0"/>
              <w:jc w:val="left"/>
            </w:pPr>
          </w:p>
        </w:tc>
        <w:tc>
          <w:tcPr>
            <w:tcW w:w="849" w:type="dxa"/>
          </w:tcPr>
          <w:p w14:paraId="686CA2EA" w14:textId="77777777" w:rsidR="0021652D" w:rsidRPr="00B415E3" w:rsidRDefault="0021652D">
            <w:pPr>
              <w:spacing w:before="0"/>
              <w:jc w:val="left"/>
            </w:pPr>
          </w:p>
        </w:tc>
        <w:tc>
          <w:tcPr>
            <w:tcW w:w="849" w:type="dxa"/>
          </w:tcPr>
          <w:p w14:paraId="2AB2E5BE" w14:textId="77777777" w:rsidR="0021652D" w:rsidRPr="00B415E3" w:rsidRDefault="0021652D">
            <w:pPr>
              <w:spacing w:before="0"/>
              <w:jc w:val="left"/>
            </w:pPr>
          </w:p>
        </w:tc>
        <w:tc>
          <w:tcPr>
            <w:tcW w:w="850" w:type="dxa"/>
          </w:tcPr>
          <w:p w14:paraId="2C2471BB" w14:textId="77777777" w:rsidR="0021652D" w:rsidRPr="00B415E3" w:rsidRDefault="0021652D">
            <w:pPr>
              <w:spacing w:before="0"/>
              <w:jc w:val="left"/>
            </w:pPr>
          </w:p>
        </w:tc>
        <w:tc>
          <w:tcPr>
            <w:tcW w:w="850" w:type="dxa"/>
          </w:tcPr>
          <w:p w14:paraId="0D2BE642" w14:textId="77777777" w:rsidR="0021652D" w:rsidRPr="00B415E3" w:rsidRDefault="0021652D">
            <w:pPr>
              <w:spacing w:before="0"/>
              <w:jc w:val="left"/>
            </w:pPr>
          </w:p>
        </w:tc>
        <w:tc>
          <w:tcPr>
            <w:tcW w:w="850" w:type="dxa"/>
          </w:tcPr>
          <w:p w14:paraId="682D24DA" w14:textId="77777777" w:rsidR="0021652D" w:rsidRPr="00B415E3" w:rsidRDefault="0021652D">
            <w:pPr>
              <w:spacing w:before="0"/>
              <w:jc w:val="left"/>
            </w:pPr>
          </w:p>
        </w:tc>
      </w:tr>
      <w:tr w:rsidR="00B415E3" w:rsidRPr="00B415E3" w14:paraId="712D0E93" w14:textId="77777777">
        <w:tc>
          <w:tcPr>
            <w:tcW w:w="849" w:type="dxa"/>
            <w:tcBorders>
              <w:right w:val="single" w:sz="4" w:space="0" w:color="000000"/>
            </w:tcBorders>
          </w:tcPr>
          <w:p w14:paraId="394649D4" w14:textId="77777777" w:rsidR="0021652D" w:rsidRPr="00B415E3" w:rsidRDefault="001B2301">
            <w:pPr>
              <w:spacing w:before="0"/>
              <w:jc w:val="left"/>
            </w:pPr>
            <w:r w:rsidRPr="00B415E3">
              <w:t>DC</w:t>
            </w:r>
          </w:p>
        </w:tc>
        <w:tc>
          <w:tcPr>
            <w:tcW w:w="849" w:type="dxa"/>
            <w:tcBorders>
              <w:left w:val="single" w:sz="4" w:space="0" w:color="000000"/>
            </w:tcBorders>
          </w:tcPr>
          <w:p w14:paraId="588B153E" w14:textId="77777777" w:rsidR="0021652D" w:rsidRPr="00B415E3" w:rsidRDefault="001B2301">
            <w:pPr>
              <w:spacing w:before="0"/>
              <w:jc w:val="left"/>
            </w:pPr>
            <w:r w:rsidRPr="00B415E3">
              <w:t>0.74</w:t>
            </w:r>
          </w:p>
        </w:tc>
        <w:tc>
          <w:tcPr>
            <w:tcW w:w="849" w:type="dxa"/>
          </w:tcPr>
          <w:p w14:paraId="6ABAD372" w14:textId="77777777" w:rsidR="0021652D" w:rsidRPr="00B415E3" w:rsidRDefault="001B2301">
            <w:pPr>
              <w:spacing w:before="0"/>
              <w:jc w:val="left"/>
            </w:pPr>
            <w:r w:rsidRPr="00B415E3">
              <w:t>0.51</w:t>
            </w:r>
          </w:p>
        </w:tc>
        <w:tc>
          <w:tcPr>
            <w:tcW w:w="849" w:type="dxa"/>
          </w:tcPr>
          <w:p w14:paraId="1C4EBA25" w14:textId="77777777" w:rsidR="0021652D" w:rsidRPr="00B415E3" w:rsidRDefault="001B2301">
            <w:pPr>
              <w:spacing w:before="0"/>
              <w:jc w:val="left"/>
            </w:pPr>
            <w:r w:rsidRPr="00B415E3">
              <w:t>0.48</w:t>
            </w:r>
          </w:p>
        </w:tc>
        <w:tc>
          <w:tcPr>
            <w:tcW w:w="849" w:type="dxa"/>
          </w:tcPr>
          <w:p w14:paraId="1347EF57" w14:textId="77777777" w:rsidR="0021652D" w:rsidRPr="00B415E3" w:rsidRDefault="0021652D">
            <w:pPr>
              <w:spacing w:before="0"/>
              <w:jc w:val="left"/>
            </w:pPr>
          </w:p>
        </w:tc>
        <w:tc>
          <w:tcPr>
            <w:tcW w:w="849" w:type="dxa"/>
          </w:tcPr>
          <w:p w14:paraId="49B5A489" w14:textId="77777777" w:rsidR="0021652D" w:rsidRPr="00B415E3" w:rsidRDefault="0021652D">
            <w:pPr>
              <w:spacing w:before="0"/>
              <w:jc w:val="left"/>
            </w:pPr>
          </w:p>
        </w:tc>
        <w:tc>
          <w:tcPr>
            <w:tcW w:w="850" w:type="dxa"/>
          </w:tcPr>
          <w:p w14:paraId="587603FE" w14:textId="77777777" w:rsidR="0021652D" w:rsidRPr="00B415E3" w:rsidRDefault="0021652D">
            <w:pPr>
              <w:spacing w:before="0"/>
              <w:jc w:val="left"/>
            </w:pPr>
          </w:p>
        </w:tc>
        <w:tc>
          <w:tcPr>
            <w:tcW w:w="850" w:type="dxa"/>
          </w:tcPr>
          <w:p w14:paraId="42841A83" w14:textId="77777777" w:rsidR="0021652D" w:rsidRPr="00B415E3" w:rsidRDefault="0021652D">
            <w:pPr>
              <w:spacing w:before="0"/>
              <w:jc w:val="left"/>
            </w:pPr>
          </w:p>
        </w:tc>
        <w:tc>
          <w:tcPr>
            <w:tcW w:w="850" w:type="dxa"/>
          </w:tcPr>
          <w:p w14:paraId="60F9FB5D" w14:textId="77777777" w:rsidR="0021652D" w:rsidRPr="00B415E3" w:rsidRDefault="0021652D">
            <w:pPr>
              <w:spacing w:before="0"/>
              <w:jc w:val="left"/>
            </w:pPr>
          </w:p>
        </w:tc>
      </w:tr>
      <w:tr w:rsidR="00B415E3" w:rsidRPr="00B415E3" w14:paraId="6D36E90E" w14:textId="77777777">
        <w:tc>
          <w:tcPr>
            <w:tcW w:w="849" w:type="dxa"/>
            <w:tcBorders>
              <w:right w:val="single" w:sz="4" w:space="0" w:color="000000"/>
            </w:tcBorders>
          </w:tcPr>
          <w:p w14:paraId="68951DE7" w14:textId="77777777" w:rsidR="0021652D" w:rsidRPr="00B415E3" w:rsidRDefault="001B2301">
            <w:pPr>
              <w:spacing w:before="0"/>
              <w:jc w:val="left"/>
            </w:pPr>
            <w:r w:rsidRPr="00B415E3">
              <w:t>SE</w:t>
            </w:r>
          </w:p>
        </w:tc>
        <w:tc>
          <w:tcPr>
            <w:tcW w:w="849" w:type="dxa"/>
            <w:tcBorders>
              <w:left w:val="single" w:sz="4" w:space="0" w:color="000000"/>
            </w:tcBorders>
          </w:tcPr>
          <w:p w14:paraId="3BA9148A" w14:textId="77777777" w:rsidR="0021652D" w:rsidRPr="00B415E3" w:rsidRDefault="001B2301">
            <w:pPr>
              <w:spacing w:before="0"/>
              <w:jc w:val="left"/>
            </w:pPr>
            <w:r w:rsidRPr="00B415E3">
              <w:t>0.67</w:t>
            </w:r>
          </w:p>
        </w:tc>
        <w:tc>
          <w:tcPr>
            <w:tcW w:w="849" w:type="dxa"/>
          </w:tcPr>
          <w:p w14:paraId="6085C201" w14:textId="77777777" w:rsidR="0021652D" w:rsidRPr="00B415E3" w:rsidRDefault="001B2301">
            <w:pPr>
              <w:spacing w:before="0"/>
              <w:jc w:val="left"/>
            </w:pPr>
            <w:r w:rsidRPr="00B415E3">
              <w:t>0.63</w:t>
            </w:r>
          </w:p>
        </w:tc>
        <w:tc>
          <w:tcPr>
            <w:tcW w:w="849" w:type="dxa"/>
          </w:tcPr>
          <w:p w14:paraId="06709255" w14:textId="77777777" w:rsidR="0021652D" w:rsidRPr="00B415E3" w:rsidRDefault="001B2301">
            <w:pPr>
              <w:spacing w:before="0"/>
              <w:jc w:val="left"/>
            </w:pPr>
            <w:r w:rsidRPr="00B415E3">
              <w:t>0.47</w:t>
            </w:r>
          </w:p>
        </w:tc>
        <w:tc>
          <w:tcPr>
            <w:tcW w:w="849" w:type="dxa"/>
          </w:tcPr>
          <w:p w14:paraId="27AA84EC" w14:textId="77777777" w:rsidR="0021652D" w:rsidRPr="00B415E3" w:rsidRDefault="001B2301">
            <w:pPr>
              <w:spacing w:before="0"/>
              <w:jc w:val="left"/>
            </w:pPr>
            <w:r w:rsidRPr="00B415E3">
              <w:t>0.77</w:t>
            </w:r>
          </w:p>
        </w:tc>
        <w:tc>
          <w:tcPr>
            <w:tcW w:w="849" w:type="dxa"/>
          </w:tcPr>
          <w:p w14:paraId="53BA147F" w14:textId="77777777" w:rsidR="0021652D" w:rsidRPr="00B415E3" w:rsidRDefault="0021652D">
            <w:pPr>
              <w:spacing w:before="0"/>
              <w:jc w:val="left"/>
            </w:pPr>
          </w:p>
        </w:tc>
        <w:tc>
          <w:tcPr>
            <w:tcW w:w="850" w:type="dxa"/>
          </w:tcPr>
          <w:p w14:paraId="24B11FE9" w14:textId="77777777" w:rsidR="0021652D" w:rsidRPr="00B415E3" w:rsidRDefault="0021652D">
            <w:pPr>
              <w:spacing w:before="0"/>
              <w:jc w:val="left"/>
            </w:pPr>
          </w:p>
        </w:tc>
        <w:tc>
          <w:tcPr>
            <w:tcW w:w="850" w:type="dxa"/>
          </w:tcPr>
          <w:p w14:paraId="3A21E3F8" w14:textId="77777777" w:rsidR="0021652D" w:rsidRPr="00B415E3" w:rsidRDefault="0021652D">
            <w:pPr>
              <w:spacing w:before="0"/>
              <w:jc w:val="left"/>
            </w:pPr>
          </w:p>
        </w:tc>
        <w:tc>
          <w:tcPr>
            <w:tcW w:w="850" w:type="dxa"/>
          </w:tcPr>
          <w:p w14:paraId="41336F05" w14:textId="77777777" w:rsidR="0021652D" w:rsidRPr="00B415E3" w:rsidRDefault="0021652D">
            <w:pPr>
              <w:spacing w:before="0"/>
              <w:jc w:val="left"/>
            </w:pPr>
          </w:p>
        </w:tc>
      </w:tr>
      <w:tr w:rsidR="00B415E3" w:rsidRPr="00B415E3" w14:paraId="08B6B2F9" w14:textId="77777777">
        <w:tc>
          <w:tcPr>
            <w:tcW w:w="849" w:type="dxa"/>
            <w:tcBorders>
              <w:right w:val="single" w:sz="4" w:space="0" w:color="000000"/>
            </w:tcBorders>
          </w:tcPr>
          <w:p w14:paraId="6E97C0E9" w14:textId="77777777" w:rsidR="0021652D" w:rsidRPr="00B415E3" w:rsidRDefault="001B2301">
            <w:pPr>
              <w:spacing w:before="0"/>
              <w:jc w:val="left"/>
            </w:pPr>
            <w:r w:rsidRPr="00B415E3">
              <w:t>PE</w:t>
            </w:r>
          </w:p>
        </w:tc>
        <w:tc>
          <w:tcPr>
            <w:tcW w:w="849" w:type="dxa"/>
            <w:tcBorders>
              <w:left w:val="single" w:sz="4" w:space="0" w:color="000000"/>
            </w:tcBorders>
          </w:tcPr>
          <w:p w14:paraId="4ED08A2D" w14:textId="77777777" w:rsidR="0021652D" w:rsidRPr="00B415E3" w:rsidRDefault="001B2301">
            <w:pPr>
              <w:spacing w:before="0"/>
              <w:jc w:val="left"/>
            </w:pPr>
            <w:r w:rsidRPr="00B415E3">
              <w:t>0.89</w:t>
            </w:r>
          </w:p>
        </w:tc>
        <w:tc>
          <w:tcPr>
            <w:tcW w:w="849" w:type="dxa"/>
          </w:tcPr>
          <w:p w14:paraId="3151D0F7" w14:textId="77777777" w:rsidR="0021652D" w:rsidRPr="00B415E3" w:rsidRDefault="001B2301">
            <w:pPr>
              <w:spacing w:before="0"/>
              <w:jc w:val="left"/>
            </w:pPr>
            <w:r w:rsidRPr="00B415E3">
              <w:t>0.51</w:t>
            </w:r>
          </w:p>
        </w:tc>
        <w:tc>
          <w:tcPr>
            <w:tcW w:w="849" w:type="dxa"/>
          </w:tcPr>
          <w:p w14:paraId="2ACA6DCC" w14:textId="77777777" w:rsidR="0021652D" w:rsidRPr="00B415E3" w:rsidRDefault="001B2301">
            <w:pPr>
              <w:spacing w:before="0"/>
              <w:jc w:val="left"/>
            </w:pPr>
            <w:r w:rsidRPr="00B415E3">
              <w:t>0.69</w:t>
            </w:r>
          </w:p>
        </w:tc>
        <w:tc>
          <w:tcPr>
            <w:tcW w:w="849" w:type="dxa"/>
          </w:tcPr>
          <w:p w14:paraId="32E2EB53" w14:textId="77777777" w:rsidR="0021652D" w:rsidRPr="00B415E3" w:rsidRDefault="001B2301">
            <w:pPr>
              <w:spacing w:before="0"/>
              <w:jc w:val="left"/>
            </w:pPr>
            <w:r w:rsidRPr="00B415E3">
              <w:t>0.84</w:t>
            </w:r>
          </w:p>
        </w:tc>
        <w:tc>
          <w:tcPr>
            <w:tcW w:w="849" w:type="dxa"/>
          </w:tcPr>
          <w:p w14:paraId="466A9C2E" w14:textId="77777777" w:rsidR="0021652D" w:rsidRPr="00B415E3" w:rsidRDefault="001B2301">
            <w:pPr>
              <w:spacing w:before="0"/>
              <w:jc w:val="left"/>
            </w:pPr>
            <w:r w:rsidRPr="00B415E3">
              <w:t>0.79</w:t>
            </w:r>
          </w:p>
        </w:tc>
        <w:tc>
          <w:tcPr>
            <w:tcW w:w="850" w:type="dxa"/>
          </w:tcPr>
          <w:p w14:paraId="02F66010" w14:textId="77777777" w:rsidR="0021652D" w:rsidRPr="00B415E3" w:rsidRDefault="0021652D">
            <w:pPr>
              <w:spacing w:before="0"/>
              <w:jc w:val="left"/>
            </w:pPr>
          </w:p>
        </w:tc>
        <w:tc>
          <w:tcPr>
            <w:tcW w:w="850" w:type="dxa"/>
          </w:tcPr>
          <w:p w14:paraId="40D00700" w14:textId="77777777" w:rsidR="0021652D" w:rsidRPr="00B415E3" w:rsidRDefault="0021652D">
            <w:pPr>
              <w:spacing w:before="0"/>
              <w:jc w:val="left"/>
            </w:pPr>
          </w:p>
        </w:tc>
        <w:tc>
          <w:tcPr>
            <w:tcW w:w="850" w:type="dxa"/>
          </w:tcPr>
          <w:p w14:paraId="07A965E5" w14:textId="77777777" w:rsidR="0021652D" w:rsidRPr="00B415E3" w:rsidRDefault="0021652D">
            <w:pPr>
              <w:spacing w:before="0"/>
              <w:jc w:val="left"/>
            </w:pPr>
          </w:p>
        </w:tc>
      </w:tr>
      <w:tr w:rsidR="00B415E3" w:rsidRPr="00B415E3" w14:paraId="75549AC0" w14:textId="77777777">
        <w:tc>
          <w:tcPr>
            <w:tcW w:w="849" w:type="dxa"/>
            <w:tcBorders>
              <w:right w:val="single" w:sz="4" w:space="0" w:color="000000"/>
            </w:tcBorders>
          </w:tcPr>
          <w:p w14:paraId="63FCB772" w14:textId="77777777" w:rsidR="0021652D" w:rsidRPr="00B415E3" w:rsidRDefault="001B2301">
            <w:pPr>
              <w:spacing w:before="0"/>
              <w:jc w:val="left"/>
            </w:pPr>
            <w:r w:rsidRPr="00B415E3">
              <w:t>CI</w:t>
            </w:r>
          </w:p>
        </w:tc>
        <w:tc>
          <w:tcPr>
            <w:tcW w:w="849" w:type="dxa"/>
            <w:tcBorders>
              <w:left w:val="single" w:sz="4" w:space="0" w:color="000000"/>
            </w:tcBorders>
          </w:tcPr>
          <w:p w14:paraId="71168B12" w14:textId="77777777" w:rsidR="0021652D" w:rsidRPr="00B415E3" w:rsidRDefault="001B2301">
            <w:pPr>
              <w:spacing w:before="0"/>
              <w:jc w:val="left"/>
            </w:pPr>
            <w:r w:rsidRPr="00B415E3">
              <w:t>0.60</w:t>
            </w:r>
          </w:p>
        </w:tc>
        <w:tc>
          <w:tcPr>
            <w:tcW w:w="849" w:type="dxa"/>
          </w:tcPr>
          <w:p w14:paraId="08E218A5" w14:textId="77777777" w:rsidR="0021652D" w:rsidRPr="00B415E3" w:rsidRDefault="001B2301">
            <w:pPr>
              <w:spacing w:before="0"/>
              <w:jc w:val="left"/>
            </w:pPr>
            <w:r w:rsidRPr="00B415E3">
              <w:t>0.38</w:t>
            </w:r>
          </w:p>
        </w:tc>
        <w:tc>
          <w:tcPr>
            <w:tcW w:w="849" w:type="dxa"/>
          </w:tcPr>
          <w:p w14:paraId="64D82304" w14:textId="77777777" w:rsidR="0021652D" w:rsidRPr="00B415E3" w:rsidRDefault="001B2301">
            <w:pPr>
              <w:spacing w:before="0"/>
              <w:jc w:val="left"/>
            </w:pPr>
            <w:r w:rsidRPr="00B415E3">
              <w:t>0.51</w:t>
            </w:r>
          </w:p>
        </w:tc>
        <w:tc>
          <w:tcPr>
            <w:tcW w:w="849" w:type="dxa"/>
          </w:tcPr>
          <w:p w14:paraId="52C44FAE" w14:textId="77777777" w:rsidR="0021652D" w:rsidRPr="00B415E3" w:rsidRDefault="001B2301">
            <w:pPr>
              <w:spacing w:before="0"/>
              <w:jc w:val="left"/>
            </w:pPr>
            <w:r w:rsidRPr="00B415E3">
              <w:t>0.71</w:t>
            </w:r>
          </w:p>
        </w:tc>
        <w:tc>
          <w:tcPr>
            <w:tcW w:w="849" w:type="dxa"/>
          </w:tcPr>
          <w:p w14:paraId="5031B062" w14:textId="77777777" w:rsidR="0021652D" w:rsidRPr="00B415E3" w:rsidRDefault="001B2301">
            <w:pPr>
              <w:spacing w:before="0"/>
              <w:jc w:val="left"/>
            </w:pPr>
            <w:r w:rsidRPr="00B415E3">
              <w:t>0.75</w:t>
            </w:r>
          </w:p>
        </w:tc>
        <w:tc>
          <w:tcPr>
            <w:tcW w:w="850" w:type="dxa"/>
          </w:tcPr>
          <w:p w14:paraId="1D488834" w14:textId="77777777" w:rsidR="0021652D" w:rsidRPr="00B415E3" w:rsidRDefault="001B2301">
            <w:pPr>
              <w:spacing w:before="0"/>
              <w:jc w:val="left"/>
            </w:pPr>
            <w:r w:rsidRPr="00B415E3">
              <w:t>0.81</w:t>
            </w:r>
          </w:p>
        </w:tc>
        <w:tc>
          <w:tcPr>
            <w:tcW w:w="850" w:type="dxa"/>
          </w:tcPr>
          <w:p w14:paraId="029DFC40" w14:textId="77777777" w:rsidR="0021652D" w:rsidRPr="00B415E3" w:rsidRDefault="0021652D">
            <w:pPr>
              <w:spacing w:before="0"/>
              <w:jc w:val="left"/>
            </w:pPr>
          </w:p>
        </w:tc>
        <w:tc>
          <w:tcPr>
            <w:tcW w:w="850" w:type="dxa"/>
          </w:tcPr>
          <w:p w14:paraId="01E2D010" w14:textId="77777777" w:rsidR="0021652D" w:rsidRPr="00B415E3" w:rsidRDefault="0021652D">
            <w:pPr>
              <w:spacing w:before="0"/>
              <w:jc w:val="left"/>
            </w:pPr>
          </w:p>
        </w:tc>
      </w:tr>
      <w:tr w:rsidR="0021652D" w:rsidRPr="00B415E3" w14:paraId="009EBBCA" w14:textId="77777777">
        <w:tc>
          <w:tcPr>
            <w:tcW w:w="849" w:type="dxa"/>
            <w:tcBorders>
              <w:bottom w:val="single" w:sz="4" w:space="0" w:color="000000"/>
              <w:right w:val="single" w:sz="4" w:space="0" w:color="000000"/>
            </w:tcBorders>
          </w:tcPr>
          <w:p w14:paraId="49C1BDA4" w14:textId="77777777" w:rsidR="0021652D" w:rsidRPr="00B415E3" w:rsidRDefault="001B2301">
            <w:pPr>
              <w:spacing w:before="0"/>
              <w:jc w:val="left"/>
            </w:pPr>
            <w:r w:rsidRPr="00B415E3">
              <w:t>T1</w:t>
            </w:r>
          </w:p>
        </w:tc>
        <w:tc>
          <w:tcPr>
            <w:tcW w:w="849" w:type="dxa"/>
            <w:tcBorders>
              <w:left w:val="single" w:sz="4" w:space="0" w:color="000000"/>
            </w:tcBorders>
          </w:tcPr>
          <w:p w14:paraId="2895258E" w14:textId="77777777" w:rsidR="0021652D" w:rsidRPr="00B415E3" w:rsidRDefault="001B2301">
            <w:pPr>
              <w:spacing w:before="0"/>
              <w:jc w:val="left"/>
            </w:pPr>
            <w:r w:rsidRPr="00B415E3">
              <w:t>0.62</w:t>
            </w:r>
          </w:p>
        </w:tc>
        <w:tc>
          <w:tcPr>
            <w:tcW w:w="849" w:type="dxa"/>
          </w:tcPr>
          <w:p w14:paraId="7CCE7E6A" w14:textId="77777777" w:rsidR="0021652D" w:rsidRPr="00B415E3" w:rsidRDefault="001B2301">
            <w:pPr>
              <w:spacing w:before="0"/>
              <w:jc w:val="left"/>
            </w:pPr>
            <w:r w:rsidRPr="00B415E3">
              <w:t>0.47</w:t>
            </w:r>
          </w:p>
        </w:tc>
        <w:tc>
          <w:tcPr>
            <w:tcW w:w="849" w:type="dxa"/>
          </w:tcPr>
          <w:p w14:paraId="18D4B3CD" w14:textId="77777777" w:rsidR="0021652D" w:rsidRPr="00B415E3" w:rsidRDefault="001B2301">
            <w:pPr>
              <w:spacing w:before="0"/>
              <w:jc w:val="left"/>
            </w:pPr>
            <w:r w:rsidRPr="00B415E3">
              <w:t>0.52</w:t>
            </w:r>
          </w:p>
        </w:tc>
        <w:tc>
          <w:tcPr>
            <w:tcW w:w="849" w:type="dxa"/>
          </w:tcPr>
          <w:p w14:paraId="33028CBA" w14:textId="77777777" w:rsidR="0021652D" w:rsidRPr="00B415E3" w:rsidRDefault="001B2301">
            <w:pPr>
              <w:spacing w:before="0"/>
              <w:jc w:val="left"/>
            </w:pPr>
            <w:r w:rsidRPr="00B415E3">
              <w:t>0.70</w:t>
            </w:r>
          </w:p>
        </w:tc>
        <w:tc>
          <w:tcPr>
            <w:tcW w:w="849" w:type="dxa"/>
          </w:tcPr>
          <w:p w14:paraId="03DD7977" w14:textId="77777777" w:rsidR="0021652D" w:rsidRPr="00B415E3" w:rsidRDefault="001B2301">
            <w:pPr>
              <w:spacing w:before="0"/>
              <w:jc w:val="left"/>
            </w:pPr>
            <w:r w:rsidRPr="00B415E3">
              <w:t>0.71</w:t>
            </w:r>
          </w:p>
        </w:tc>
        <w:tc>
          <w:tcPr>
            <w:tcW w:w="850" w:type="dxa"/>
          </w:tcPr>
          <w:p w14:paraId="62897F0E" w14:textId="77777777" w:rsidR="0021652D" w:rsidRPr="00B415E3" w:rsidRDefault="001B2301">
            <w:pPr>
              <w:spacing w:before="0"/>
              <w:jc w:val="left"/>
            </w:pPr>
            <w:r w:rsidRPr="00B415E3">
              <w:t>0.81</w:t>
            </w:r>
          </w:p>
        </w:tc>
        <w:tc>
          <w:tcPr>
            <w:tcW w:w="850" w:type="dxa"/>
          </w:tcPr>
          <w:p w14:paraId="4FDC1819" w14:textId="77777777" w:rsidR="0021652D" w:rsidRPr="00B415E3" w:rsidRDefault="001B2301">
            <w:pPr>
              <w:spacing w:before="0"/>
              <w:jc w:val="left"/>
            </w:pPr>
            <w:r w:rsidRPr="00B415E3">
              <w:t>0.83</w:t>
            </w:r>
          </w:p>
        </w:tc>
        <w:tc>
          <w:tcPr>
            <w:tcW w:w="850" w:type="dxa"/>
          </w:tcPr>
          <w:p w14:paraId="49955305" w14:textId="77777777" w:rsidR="0021652D" w:rsidRPr="00B415E3" w:rsidRDefault="0021652D">
            <w:pPr>
              <w:spacing w:before="0"/>
              <w:jc w:val="left"/>
            </w:pPr>
          </w:p>
        </w:tc>
      </w:tr>
    </w:tbl>
    <w:p w14:paraId="6496E71B" w14:textId="77777777" w:rsidR="0021652D" w:rsidRPr="00B415E3" w:rsidRDefault="0021652D">
      <w:pPr>
        <w:spacing w:before="0" w:line="480" w:lineRule="auto"/>
        <w:jc w:val="left"/>
      </w:pPr>
    </w:p>
    <w:sectPr w:rsidR="0021652D" w:rsidRPr="00B415E3">
      <w:footerReference w:type="default" r:id="rId16"/>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14E7E" w14:textId="77777777" w:rsidR="000634DF" w:rsidRDefault="000634DF">
      <w:pPr>
        <w:spacing w:before="0"/>
      </w:pPr>
      <w:r>
        <w:separator/>
      </w:r>
    </w:p>
  </w:endnote>
  <w:endnote w:type="continuationSeparator" w:id="0">
    <w:p w14:paraId="63B2A399" w14:textId="77777777" w:rsidR="000634DF" w:rsidRDefault="000634D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rdo">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855F" w14:textId="77777777" w:rsidR="00FD3E86" w:rsidRDefault="00FD3E8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AADE9" w14:textId="77777777" w:rsidR="000634DF" w:rsidRDefault="000634DF">
      <w:pPr>
        <w:spacing w:before="0"/>
      </w:pPr>
      <w:r>
        <w:separator/>
      </w:r>
    </w:p>
  </w:footnote>
  <w:footnote w:type="continuationSeparator" w:id="0">
    <w:p w14:paraId="5D11177E" w14:textId="77777777" w:rsidR="000634DF" w:rsidRDefault="000634DF">
      <w:pPr>
        <w:spacing w:before="0"/>
      </w:pPr>
      <w:r>
        <w:continuationSeparator/>
      </w:r>
    </w:p>
  </w:footnote>
  <w:footnote w:id="1">
    <w:p w14:paraId="3ACC8D12" w14:textId="5EA0FD05" w:rsidR="00FD3E86" w:rsidRPr="0046270C" w:rsidRDefault="00FD3E86">
      <w:pPr>
        <w:pStyle w:val="FootnoteText"/>
        <w:rPr>
          <w:sz w:val="18"/>
          <w:szCs w:val="18"/>
        </w:rPr>
      </w:pPr>
      <w:r w:rsidRPr="0046270C">
        <w:rPr>
          <w:rStyle w:val="FootnoteReference"/>
          <w:sz w:val="18"/>
          <w:szCs w:val="18"/>
        </w:rPr>
        <w:footnoteRef/>
      </w:r>
      <w:r w:rsidRPr="0046270C">
        <w:rPr>
          <w:sz w:val="18"/>
          <w:szCs w:val="18"/>
        </w:rPr>
        <w:t xml:space="preserve"> In 2017, the popular social games company </w:t>
      </w:r>
      <w:r w:rsidRPr="0046270C">
        <w:rPr>
          <w:i/>
          <w:sz w:val="18"/>
          <w:szCs w:val="18"/>
        </w:rPr>
        <w:t>King</w:t>
      </w:r>
      <w:r w:rsidRPr="0046270C">
        <w:rPr>
          <w:sz w:val="18"/>
          <w:szCs w:val="18"/>
        </w:rPr>
        <w:t xml:space="preserve"> with game titles such as </w:t>
      </w:r>
      <w:r w:rsidRPr="0046270C">
        <w:rPr>
          <w:i/>
          <w:sz w:val="18"/>
          <w:szCs w:val="18"/>
        </w:rPr>
        <w:t>Candy Crush Saga</w:t>
      </w:r>
      <w:r w:rsidRPr="0046270C">
        <w:rPr>
          <w:sz w:val="18"/>
          <w:szCs w:val="18"/>
        </w:rPr>
        <w:t xml:space="preserve">, </w:t>
      </w:r>
      <w:r w:rsidRPr="0046270C">
        <w:rPr>
          <w:i/>
          <w:sz w:val="18"/>
          <w:szCs w:val="18"/>
        </w:rPr>
        <w:t>FarmVille Saga</w:t>
      </w:r>
      <w:r w:rsidRPr="0046270C">
        <w:rPr>
          <w:sz w:val="18"/>
          <w:szCs w:val="18"/>
        </w:rPr>
        <w:t xml:space="preserve">, and </w:t>
      </w:r>
      <w:r w:rsidRPr="0046270C">
        <w:rPr>
          <w:i/>
          <w:sz w:val="18"/>
          <w:szCs w:val="18"/>
        </w:rPr>
        <w:t xml:space="preserve">Farm Heroes </w:t>
      </w:r>
      <w:r w:rsidRPr="0046270C">
        <w:rPr>
          <w:sz w:val="18"/>
          <w:szCs w:val="18"/>
        </w:rPr>
        <w:t>Saga, generated $1.99 billion in revenue (King 2018a) and it reached 285 million monthly active users (King 2018b).</w:t>
      </w:r>
    </w:p>
  </w:footnote>
  <w:footnote w:id="2">
    <w:p w14:paraId="4BDD3998" w14:textId="52A01A64" w:rsidR="00FD3E86" w:rsidRPr="00B543EF" w:rsidRDefault="00FD3E86">
      <w:pPr>
        <w:spacing w:before="0"/>
        <w:rPr>
          <w:sz w:val="18"/>
          <w:szCs w:val="18"/>
        </w:rPr>
      </w:pPr>
      <w:r w:rsidRPr="00B543EF">
        <w:rPr>
          <w:sz w:val="18"/>
          <w:szCs w:val="18"/>
          <w:vertAlign w:val="superscript"/>
        </w:rPr>
        <w:footnoteRef/>
      </w:r>
      <w:hyperlink r:id="rId1" w:history="1">
        <w:r w:rsidRPr="00B543EF">
          <w:rPr>
            <w:rStyle w:val="Hyperlink"/>
            <w:sz w:val="18"/>
            <w:szCs w:val="18"/>
          </w:rPr>
          <w:t>https://www.bloomberg.com/press-releases/2020-04-10/games-industry-unites-to-promote-world-health-organization-messages-against-covid-19-launch-playaparttogether-campaign</w:t>
        </w:r>
      </w:hyperlink>
      <w:r w:rsidRPr="00B543EF">
        <w:rPr>
          <w:sz w:val="18"/>
          <w:szCs w:val="18"/>
        </w:rPr>
        <w:t xml:space="preserve"> [Accessed: </w:t>
      </w:r>
      <w:r>
        <w:rPr>
          <w:sz w:val="18"/>
          <w:szCs w:val="18"/>
        </w:rPr>
        <w:t>Nov. 25</w:t>
      </w:r>
      <w:r w:rsidRPr="005F5813">
        <w:rPr>
          <w:sz w:val="18"/>
          <w:szCs w:val="18"/>
          <w:vertAlign w:val="superscript"/>
        </w:rPr>
        <w:t>th</w:t>
      </w:r>
      <w:r w:rsidRPr="00B543EF">
        <w:rPr>
          <w:sz w:val="18"/>
          <w:szCs w:val="18"/>
        </w:rPr>
        <w:t>, 2020]</w:t>
      </w:r>
    </w:p>
  </w:footnote>
  <w:footnote w:id="3">
    <w:p w14:paraId="00F74966" w14:textId="7D983116" w:rsidR="00FD3E86" w:rsidRDefault="00FD3E86">
      <w:pPr>
        <w:spacing w:before="0"/>
        <w:rPr>
          <w:sz w:val="20"/>
          <w:szCs w:val="20"/>
        </w:rPr>
      </w:pPr>
      <w:r w:rsidRPr="00B543EF">
        <w:rPr>
          <w:sz w:val="18"/>
          <w:szCs w:val="18"/>
          <w:vertAlign w:val="superscript"/>
        </w:rPr>
        <w:footnoteRef/>
      </w:r>
      <w:r w:rsidRPr="00B543EF">
        <w:rPr>
          <w:sz w:val="18"/>
          <w:szCs w:val="18"/>
        </w:rPr>
        <w:t xml:space="preserve"> </w:t>
      </w:r>
      <w:hyperlink r:id="rId2">
        <w:r w:rsidRPr="00B543EF">
          <w:rPr>
            <w:color w:val="1155CC"/>
            <w:sz w:val="18"/>
            <w:szCs w:val="18"/>
            <w:u w:val="single"/>
          </w:rPr>
          <w:t>https://theconversation.com/social-video-games-to-play-during-the-coronavirus-quarantine-134880</w:t>
        </w:r>
      </w:hyperlink>
      <w:r w:rsidRPr="00B543EF">
        <w:rPr>
          <w:sz w:val="18"/>
          <w:szCs w:val="18"/>
        </w:rPr>
        <w:t xml:space="preserve"> [Accessed: </w:t>
      </w:r>
      <w:r>
        <w:rPr>
          <w:sz w:val="18"/>
          <w:szCs w:val="18"/>
        </w:rPr>
        <w:t>Nov.</w:t>
      </w:r>
      <w:r w:rsidRPr="00B543EF">
        <w:rPr>
          <w:sz w:val="18"/>
          <w:szCs w:val="18"/>
        </w:rPr>
        <w:t xml:space="preserve"> </w:t>
      </w:r>
      <w:r>
        <w:rPr>
          <w:sz w:val="18"/>
          <w:szCs w:val="18"/>
        </w:rPr>
        <w:t>25</w:t>
      </w:r>
      <w:r w:rsidRPr="005F5813">
        <w:rPr>
          <w:sz w:val="18"/>
          <w:szCs w:val="18"/>
          <w:vertAlign w:val="superscript"/>
        </w:rPr>
        <w:t>th</w:t>
      </w:r>
      <w:r w:rsidRPr="00B543EF">
        <w:rPr>
          <w:sz w:val="18"/>
          <w:szCs w:val="18"/>
        </w:rPr>
        <w:t>, 2020]</w:t>
      </w:r>
    </w:p>
  </w:footnote>
  <w:footnote w:id="4">
    <w:p w14:paraId="29C784FB" w14:textId="56175A0A" w:rsidR="00FD3E86" w:rsidRPr="0046270C" w:rsidRDefault="00FD3E86">
      <w:pPr>
        <w:pBdr>
          <w:top w:val="nil"/>
          <w:left w:val="nil"/>
          <w:bottom w:val="nil"/>
          <w:right w:val="nil"/>
          <w:between w:val="nil"/>
        </w:pBdr>
        <w:spacing w:before="0"/>
        <w:rPr>
          <w:color w:val="000000"/>
          <w:sz w:val="18"/>
          <w:szCs w:val="18"/>
        </w:rPr>
      </w:pPr>
      <w:r w:rsidRPr="0046270C">
        <w:rPr>
          <w:sz w:val="18"/>
          <w:szCs w:val="18"/>
          <w:vertAlign w:val="superscript"/>
        </w:rPr>
        <w:footnoteRef/>
      </w:r>
      <w:r w:rsidRPr="0046270C">
        <w:rPr>
          <w:color w:val="000000"/>
          <w:sz w:val="18"/>
          <w:szCs w:val="18"/>
        </w:rPr>
        <w:t xml:space="preserve"> </w:t>
      </w:r>
      <w:hyperlink r:id="rId3">
        <w:r w:rsidRPr="0046270C">
          <w:rPr>
            <w:color w:val="0000FF"/>
            <w:sz w:val="18"/>
            <w:szCs w:val="18"/>
            <w:u w:val="single"/>
          </w:rPr>
          <w:t>https://king.com/game/farmheroes</w:t>
        </w:r>
      </w:hyperlink>
      <w:r w:rsidRPr="0046270C">
        <w:rPr>
          <w:color w:val="000000"/>
          <w:sz w:val="18"/>
          <w:szCs w:val="18"/>
        </w:rPr>
        <w:t xml:space="preserve"> [Accessed: </w:t>
      </w:r>
      <w:r>
        <w:rPr>
          <w:color w:val="000000"/>
          <w:sz w:val="18"/>
          <w:szCs w:val="18"/>
        </w:rPr>
        <w:t>Nov. 25</w:t>
      </w:r>
      <w:r w:rsidRPr="00DB55A8">
        <w:rPr>
          <w:color w:val="000000"/>
          <w:sz w:val="18"/>
          <w:szCs w:val="18"/>
          <w:vertAlign w:val="superscript"/>
        </w:rPr>
        <w:t>th</w:t>
      </w:r>
      <w:r w:rsidRPr="0046270C">
        <w:rPr>
          <w:color w:val="000000"/>
          <w:sz w:val="18"/>
          <w:szCs w:val="18"/>
        </w:rPr>
        <w:t>, 20</w:t>
      </w:r>
      <w:r>
        <w:rPr>
          <w:color w:val="000000"/>
          <w:sz w:val="18"/>
          <w:szCs w:val="18"/>
        </w:rPr>
        <w:t>20</w:t>
      </w:r>
      <w:r w:rsidRPr="0046270C">
        <w:rPr>
          <w:color w:val="000000"/>
          <w:sz w:val="18"/>
          <w:szCs w:val="18"/>
        </w:rPr>
        <w:t>]</w:t>
      </w:r>
    </w:p>
  </w:footnote>
  <w:footnote w:id="5">
    <w:p w14:paraId="66454A21" w14:textId="59A2D32B" w:rsidR="00FD3E86" w:rsidRPr="0046270C" w:rsidRDefault="00FD3E86">
      <w:pPr>
        <w:pBdr>
          <w:top w:val="nil"/>
          <w:left w:val="nil"/>
          <w:bottom w:val="nil"/>
          <w:right w:val="nil"/>
          <w:between w:val="nil"/>
        </w:pBdr>
        <w:spacing w:before="0"/>
        <w:rPr>
          <w:color w:val="000000"/>
          <w:sz w:val="18"/>
          <w:szCs w:val="18"/>
        </w:rPr>
      </w:pPr>
      <w:r w:rsidRPr="0046270C">
        <w:rPr>
          <w:sz w:val="18"/>
          <w:szCs w:val="18"/>
          <w:vertAlign w:val="superscript"/>
        </w:rPr>
        <w:footnoteRef/>
      </w:r>
      <w:r w:rsidRPr="0046270C">
        <w:rPr>
          <w:color w:val="000000"/>
          <w:sz w:val="18"/>
          <w:szCs w:val="18"/>
        </w:rPr>
        <w:t xml:space="preserve"> </w:t>
      </w:r>
      <w:hyperlink r:id="rId4">
        <w:r w:rsidRPr="0046270C">
          <w:rPr>
            <w:color w:val="0000FF"/>
            <w:sz w:val="18"/>
            <w:szCs w:val="18"/>
            <w:u w:val="single"/>
          </w:rPr>
          <w:t>https://king.com/</w:t>
        </w:r>
      </w:hyperlink>
      <w:r w:rsidRPr="0046270C">
        <w:rPr>
          <w:color w:val="000000"/>
          <w:sz w:val="18"/>
          <w:szCs w:val="18"/>
        </w:rPr>
        <w:t xml:space="preserve">   [Accessed: </w:t>
      </w:r>
      <w:r>
        <w:rPr>
          <w:color w:val="000000"/>
          <w:sz w:val="18"/>
          <w:szCs w:val="18"/>
        </w:rPr>
        <w:t>Nov. 25</w:t>
      </w:r>
      <w:r w:rsidRPr="00DB55A8">
        <w:rPr>
          <w:color w:val="000000"/>
          <w:sz w:val="18"/>
          <w:szCs w:val="18"/>
          <w:vertAlign w:val="superscript"/>
        </w:rPr>
        <w:t>th</w:t>
      </w:r>
      <w:r w:rsidRPr="0046270C">
        <w:rPr>
          <w:color w:val="000000"/>
          <w:sz w:val="18"/>
          <w:szCs w:val="18"/>
        </w:rPr>
        <w:t>, 20</w:t>
      </w:r>
      <w:r>
        <w:rPr>
          <w:color w:val="000000"/>
          <w:sz w:val="18"/>
          <w:szCs w:val="18"/>
        </w:rPr>
        <w:t>20</w:t>
      </w:r>
      <w:r w:rsidRPr="0046270C">
        <w:rPr>
          <w:color w:val="000000"/>
          <w:sz w:val="18"/>
          <w:szCs w:val="18"/>
        </w:rPr>
        <w:t>]</w:t>
      </w:r>
    </w:p>
  </w:footnote>
  <w:footnote w:id="6">
    <w:p w14:paraId="0B39BB21" w14:textId="12FA162A" w:rsidR="00FD3E86" w:rsidRDefault="00FD3E86">
      <w:pPr>
        <w:pBdr>
          <w:top w:val="nil"/>
          <w:left w:val="nil"/>
          <w:bottom w:val="nil"/>
          <w:right w:val="nil"/>
          <w:between w:val="nil"/>
        </w:pBdr>
        <w:spacing w:before="0"/>
        <w:rPr>
          <w:color w:val="000000"/>
          <w:sz w:val="20"/>
          <w:szCs w:val="20"/>
        </w:rPr>
      </w:pPr>
      <w:r w:rsidRPr="0046270C">
        <w:rPr>
          <w:sz w:val="18"/>
          <w:szCs w:val="18"/>
          <w:vertAlign w:val="superscript"/>
        </w:rPr>
        <w:footnoteRef/>
      </w:r>
      <w:r w:rsidRPr="0046270C">
        <w:rPr>
          <w:color w:val="000000"/>
          <w:sz w:val="18"/>
          <w:szCs w:val="18"/>
        </w:rPr>
        <w:t xml:space="preserve"> </w:t>
      </w:r>
      <w:hyperlink r:id="rId5">
        <w:r w:rsidRPr="0046270C">
          <w:rPr>
            <w:color w:val="0000FF"/>
            <w:sz w:val="18"/>
            <w:szCs w:val="18"/>
            <w:u w:val="single"/>
          </w:rPr>
          <w:t>http://candycrushsaga.com/en/</w:t>
        </w:r>
      </w:hyperlink>
      <w:r w:rsidRPr="0046270C">
        <w:rPr>
          <w:color w:val="000000"/>
          <w:sz w:val="18"/>
          <w:szCs w:val="18"/>
        </w:rPr>
        <w:t xml:space="preserve">  [Accessed: </w:t>
      </w:r>
      <w:r>
        <w:rPr>
          <w:color w:val="000000"/>
          <w:sz w:val="18"/>
          <w:szCs w:val="18"/>
        </w:rPr>
        <w:t>Nov. 25</w:t>
      </w:r>
      <w:r w:rsidRPr="00DB55A8">
        <w:rPr>
          <w:color w:val="000000"/>
          <w:sz w:val="18"/>
          <w:szCs w:val="18"/>
          <w:vertAlign w:val="superscript"/>
        </w:rPr>
        <w:t>th</w:t>
      </w:r>
      <w:r w:rsidRPr="0046270C">
        <w:rPr>
          <w:color w:val="000000"/>
          <w:sz w:val="18"/>
          <w:szCs w:val="18"/>
        </w:rPr>
        <w:t>, 20</w:t>
      </w:r>
      <w:r>
        <w:rPr>
          <w:color w:val="000000"/>
          <w:sz w:val="18"/>
          <w:szCs w:val="18"/>
        </w:rPr>
        <w:t>20</w:t>
      </w:r>
      <w:r w:rsidRPr="0046270C">
        <w:rPr>
          <w:color w:val="000000"/>
          <w:sz w:val="18"/>
          <w:szCs w:val="18"/>
        </w:rPr>
        <w:t>]</w:t>
      </w:r>
    </w:p>
  </w:footnote>
  <w:footnote w:id="7">
    <w:p w14:paraId="40CCA8C5" w14:textId="77777777" w:rsidR="00FD3E86" w:rsidRPr="0046270C" w:rsidRDefault="00FD3E86">
      <w:pPr>
        <w:spacing w:before="0"/>
        <w:rPr>
          <w:sz w:val="18"/>
          <w:szCs w:val="18"/>
        </w:rPr>
      </w:pPr>
      <w:r w:rsidRPr="0046270C">
        <w:rPr>
          <w:sz w:val="18"/>
          <w:szCs w:val="18"/>
          <w:vertAlign w:val="superscript"/>
        </w:rPr>
        <w:footnoteRef/>
      </w:r>
      <w:r w:rsidRPr="0046270C">
        <w:rPr>
          <w:sz w:val="18"/>
          <w:szCs w:val="18"/>
        </w:rPr>
        <w:t xml:space="preserve"> The only evidence we have about the subjects who did not accept to participate in the data collection was that either they did not want to play the game, they did not want their information recorded or they had previous experience with the game; hence, they were not eligible to participate. </w:t>
      </w:r>
    </w:p>
    <w:p w14:paraId="067367DC" w14:textId="77777777" w:rsidR="00FD3E86" w:rsidRDefault="00FD3E86">
      <w:pPr>
        <w:spacing w:before="0"/>
        <w:rPr>
          <w:sz w:val="20"/>
          <w:szCs w:val="20"/>
        </w:rPr>
      </w:pPr>
    </w:p>
  </w:footnote>
  <w:footnote w:id="8">
    <w:p w14:paraId="146411AE" w14:textId="77777777" w:rsidR="00FD3E86" w:rsidRPr="0046270C" w:rsidRDefault="00FD3E86">
      <w:pPr>
        <w:spacing w:before="0"/>
        <w:rPr>
          <w:color w:val="FF0000"/>
          <w:sz w:val="18"/>
          <w:szCs w:val="18"/>
        </w:rPr>
      </w:pPr>
      <w:bookmarkStart w:id="5" w:name="_heading=h.26in1rg" w:colFirst="0" w:colLast="0"/>
      <w:bookmarkEnd w:id="5"/>
      <w:r w:rsidRPr="0046270C">
        <w:rPr>
          <w:sz w:val="18"/>
          <w:szCs w:val="18"/>
          <w:vertAlign w:val="superscript"/>
        </w:rPr>
        <w:footnoteRef/>
      </w:r>
      <w:r w:rsidRPr="0046270C">
        <w:rPr>
          <w:sz w:val="18"/>
          <w:szCs w:val="18"/>
        </w:rPr>
        <w:t xml:space="preserve"> We also collected the game levels in two additional moments, one month after moment T1 which we called T2 and a third time period (T3) three months after moment T2. In both T2 and T3, we observe positive correlation between behaviour (game level) and continuance intention (CI) as indicated in T1.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E61"/>
    <w:multiLevelType w:val="multilevel"/>
    <w:tmpl w:val="A91C1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813416"/>
    <w:multiLevelType w:val="multilevel"/>
    <w:tmpl w:val="BEBEFE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4B95540"/>
    <w:multiLevelType w:val="multilevel"/>
    <w:tmpl w:val="A2DEA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52D"/>
    <w:rsid w:val="00005CAD"/>
    <w:rsid w:val="00027CFE"/>
    <w:rsid w:val="000339E7"/>
    <w:rsid w:val="000448F7"/>
    <w:rsid w:val="000634DF"/>
    <w:rsid w:val="00064647"/>
    <w:rsid w:val="000706E5"/>
    <w:rsid w:val="00081D3C"/>
    <w:rsid w:val="00092707"/>
    <w:rsid w:val="00106B54"/>
    <w:rsid w:val="00125917"/>
    <w:rsid w:val="0013000F"/>
    <w:rsid w:val="00131C03"/>
    <w:rsid w:val="00133278"/>
    <w:rsid w:val="0013377F"/>
    <w:rsid w:val="00143C13"/>
    <w:rsid w:val="001639DD"/>
    <w:rsid w:val="00172DBA"/>
    <w:rsid w:val="0019347F"/>
    <w:rsid w:val="001B1619"/>
    <w:rsid w:val="001B2301"/>
    <w:rsid w:val="001B4037"/>
    <w:rsid w:val="001C09D0"/>
    <w:rsid w:val="001C1283"/>
    <w:rsid w:val="001C4A05"/>
    <w:rsid w:val="001E0FD7"/>
    <w:rsid w:val="0020081F"/>
    <w:rsid w:val="0021652D"/>
    <w:rsid w:val="0022019A"/>
    <w:rsid w:val="00245C74"/>
    <w:rsid w:val="00245C7F"/>
    <w:rsid w:val="00246A32"/>
    <w:rsid w:val="00251349"/>
    <w:rsid w:val="00253DB5"/>
    <w:rsid w:val="0026096A"/>
    <w:rsid w:val="00261A0A"/>
    <w:rsid w:val="0027077D"/>
    <w:rsid w:val="00272ACB"/>
    <w:rsid w:val="00274281"/>
    <w:rsid w:val="002951ED"/>
    <w:rsid w:val="002B4975"/>
    <w:rsid w:val="002B7E2C"/>
    <w:rsid w:val="002C179E"/>
    <w:rsid w:val="002C356E"/>
    <w:rsid w:val="002C3BC7"/>
    <w:rsid w:val="002D00FA"/>
    <w:rsid w:val="002D4F8D"/>
    <w:rsid w:val="002E02E8"/>
    <w:rsid w:val="002F0DB4"/>
    <w:rsid w:val="002F7F3D"/>
    <w:rsid w:val="00301EB9"/>
    <w:rsid w:val="00321F8C"/>
    <w:rsid w:val="00345616"/>
    <w:rsid w:val="00352C89"/>
    <w:rsid w:val="00356BAF"/>
    <w:rsid w:val="003637DA"/>
    <w:rsid w:val="003833D8"/>
    <w:rsid w:val="003934ED"/>
    <w:rsid w:val="003B3B56"/>
    <w:rsid w:val="003E4112"/>
    <w:rsid w:val="003E58CE"/>
    <w:rsid w:val="003F3E5C"/>
    <w:rsid w:val="00411006"/>
    <w:rsid w:val="00424D5C"/>
    <w:rsid w:val="004523AF"/>
    <w:rsid w:val="00457DA5"/>
    <w:rsid w:val="0046270C"/>
    <w:rsid w:val="00486A00"/>
    <w:rsid w:val="004A3626"/>
    <w:rsid w:val="004B08FC"/>
    <w:rsid w:val="004C63B0"/>
    <w:rsid w:val="004E32E9"/>
    <w:rsid w:val="004F2CAC"/>
    <w:rsid w:val="0053086C"/>
    <w:rsid w:val="00537AE2"/>
    <w:rsid w:val="00570C12"/>
    <w:rsid w:val="005A2936"/>
    <w:rsid w:val="005A69BD"/>
    <w:rsid w:val="005C49B1"/>
    <w:rsid w:val="005D5AE2"/>
    <w:rsid w:val="005F5813"/>
    <w:rsid w:val="005F72A9"/>
    <w:rsid w:val="006009B2"/>
    <w:rsid w:val="00622E7C"/>
    <w:rsid w:val="00634ADF"/>
    <w:rsid w:val="00636DF0"/>
    <w:rsid w:val="006501E6"/>
    <w:rsid w:val="00654AFE"/>
    <w:rsid w:val="00676A16"/>
    <w:rsid w:val="006954E4"/>
    <w:rsid w:val="006959FF"/>
    <w:rsid w:val="006A2298"/>
    <w:rsid w:val="006B6259"/>
    <w:rsid w:val="006C48BA"/>
    <w:rsid w:val="006F4621"/>
    <w:rsid w:val="006F70F3"/>
    <w:rsid w:val="00713CF1"/>
    <w:rsid w:val="00715756"/>
    <w:rsid w:val="00715B2B"/>
    <w:rsid w:val="00727324"/>
    <w:rsid w:val="00736FF2"/>
    <w:rsid w:val="00737AAA"/>
    <w:rsid w:val="00740142"/>
    <w:rsid w:val="00744676"/>
    <w:rsid w:val="00750A9C"/>
    <w:rsid w:val="00753D22"/>
    <w:rsid w:val="00773B35"/>
    <w:rsid w:val="00775876"/>
    <w:rsid w:val="00775F50"/>
    <w:rsid w:val="007958F1"/>
    <w:rsid w:val="007A0E45"/>
    <w:rsid w:val="007C0D0D"/>
    <w:rsid w:val="007C4C05"/>
    <w:rsid w:val="007C63EA"/>
    <w:rsid w:val="007F58C7"/>
    <w:rsid w:val="007F6471"/>
    <w:rsid w:val="00804F65"/>
    <w:rsid w:val="008131FC"/>
    <w:rsid w:val="00814AC2"/>
    <w:rsid w:val="00832AD3"/>
    <w:rsid w:val="00840185"/>
    <w:rsid w:val="00842CD2"/>
    <w:rsid w:val="008556CC"/>
    <w:rsid w:val="00861D76"/>
    <w:rsid w:val="008A5A50"/>
    <w:rsid w:val="008A6FFC"/>
    <w:rsid w:val="008D200C"/>
    <w:rsid w:val="008D539A"/>
    <w:rsid w:val="008D6B03"/>
    <w:rsid w:val="008D7D4E"/>
    <w:rsid w:val="008F4E90"/>
    <w:rsid w:val="008F71FA"/>
    <w:rsid w:val="0090186D"/>
    <w:rsid w:val="00910F33"/>
    <w:rsid w:val="009353A6"/>
    <w:rsid w:val="00945FE4"/>
    <w:rsid w:val="00956331"/>
    <w:rsid w:val="00965CFE"/>
    <w:rsid w:val="00973609"/>
    <w:rsid w:val="00973932"/>
    <w:rsid w:val="00974FEC"/>
    <w:rsid w:val="009751A9"/>
    <w:rsid w:val="009C612D"/>
    <w:rsid w:val="009E68EC"/>
    <w:rsid w:val="009F1495"/>
    <w:rsid w:val="009F67FE"/>
    <w:rsid w:val="00A008F4"/>
    <w:rsid w:val="00A131F3"/>
    <w:rsid w:val="00A21F55"/>
    <w:rsid w:val="00A44DE6"/>
    <w:rsid w:val="00A60697"/>
    <w:rsid w:val="00A616B1"/>
    <w:rsid w:val="00A703C9"/>
    <w:rsid w:val="00A72C55"/>
    <w:rsid w:val="00A76E47"/>
    <w:rsid w:val="00AB2C23"/>
    <w:rsid w:val="00AB517F"/>
    <w:rsid w:val="00AC2F4E"/>
    <w:rsid w:val="00AD749C"/>
    <w:rsid w:val="00B23727"/>
    <w:rsid w:val="00B415E3"/>
    <w:rsid w:val="00B543EF"/>
    <w:rsid w:val="00B6225B"/>
    <w:rsid w:val="00B625DD"/>
    <w:rsid w:val="00BD04A2"/>
    <w:rsid w:val="00BD58A9"/>
    <w:rsid w:val="00BD6898"/>
    <w:rsid w:val="00BE4DBD"/>
    <w:rsid w:val="00C21E97"/>
    <w:rsid w:val="00C330DF"/>
    <w:rsid w:val="00C63380"/>
    <w:rsid w:val="00C83294"/>
    <w:rsid w:val="00CB66E5"/>
    <w:rsid w:val="00CD166A"/>
    <w:rsid w:val="00CD3088"/>
    <w:rsid w:val="00CD680F"/>
    <w:rsid w:val="00CE4937"/>
    <w:rsid w:val="00CE5730"/>
    <w:rsid w:val="00D13956"/>
    <w:rsid w:val="00D33207"/>
    <w:rsid w:val="00D3493A"/>
    <w:rsid w:val="00D459E5"/>
    <w:rsid w:val="00D569A9"/>
    <w:rsid w:val="00D85962"/>
    <w:rsid w:val="00D91A11"/>
    <w:rsid w:val="00DA0B3D"/>
    <w:rsid w:val="00DB55A8"/>
    <w:rsid w:val="00DC05BD"/>
    <w:rsid w:val="00DC5AF6"/>
    <w:rsid w:val="00DD50FC"/>
    <w:rsid w:val="00E0632D"/>
    <w:rsid w:val="00E309D6"/>
    <w:rsid w:val="00E34D6C"/>
    <w:rsid w:val="00E5163E"/>
    <w:rsid w:val="00E54C11"/>
    <w:rsid w:val="00E55B24"/>
    <w:rsid w:val="00E757F0"/>
    <w:rsid w:val="00E76BDC"/>
    <w:rsid w:val="00E96365"/>
    <w:rsid w:val="00EA0C0F"/>
    <w:rsid w:val="00EC18A8"/>
    <w:rsid w:val="00EC5830"/>
    <w:rsid w:val="00EF0C25"/>
    <w:rsid w:val="00EF262D"/>
    <w:rsid w:val="00EF4568"/>
    <w:rsid w:val="00EF5AB9"/>
    <w:rsid w:val="00F02CD7"/>
    <w:rsid w:val="00F21C63"/>
    <w:rsid w:val="00F35278"/>
    <w:rsid w:val="00F37F64"/>
    <w:rsid w:val="00F46380"/>
    <w:rsid w:val="00F574CD"/>
    <w:rsid w:val="00F626D4"/>
    <w:rsid w:val="00F65410"/>
    <w:rsid w:val="00F95AD4"/>
    <w:rsid w:val="00F95AFC"/>
    <w:rsid w:val="00FA33D3"/>
    <w:rsid w:val="00FD00EC"/>
    <w:rsid w:val="00FD3E86"/>
    <w:rsid w:val="00FE1205"/>
    <w:rsid w:val="00FE34C3"/>
    <w:rsid w:val="00FE70AD"/>
    <w:rsid w:val="00FF0DCF"/>
    <w:rsid w:val="00FF5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B9ED1"/>
  <w15:docId w15:val="{4797620D-0C4B-4A8C-9549-DCA8F81D8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US" w:bidi="ar-SA"/>
      </w:rPr>
    </w:rPrDefault>
    <w:pPrDefault>
      <w:pPr>
        <w:spacing w:before="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ind w:left="431" w:hanging="431"/>
      <w:outlineLvl w:val="0"/>
    </w:pPr>
    <w:rPr>
      <w:b/>
      <w:color w:val="000000"/>
      <w:sz w:val="28"/>
      <w:szCs w:val="28"/>
    </w:rPr>
  </w:style>
  <w:style w:type="paragraph" w:styleId="Heading2">
    <w:name w:val="heading 2"/>
    <w:basedOn w:val="Normal"/>
    <w:next w:val="Normal"/>
    <w:uiPriority w:val="9"/>
    <w:unhideWhenUsed/>
    <w:qFormat/>
    <w:pPr>
      <w:keepNext/>
      <w:keepLines/>
      <w:spacing w:before="480"/>
      <w:ind w:left="578" w:hanging="578"/>
      <w:outlineLvl w:val="1"/>
    </w:pPr>
    <w:rPr>
      <w:b/>
      <w:color w:val="000000"/>
    </w:rPr>
  </w:style>
  <w:style w:type="paragraph" w:styleId="Heading3">
    <w:name w:val="heading 3"/>
    <w:basedOn w:val="Normal"/>
    <w:next w:val="Normal"/>
    <w:uiPriority w:val="9"/>
    <w:semiHidden/>
    <w:unhideWhenUsed/>
    <w:qFormat/>
    <w:pPr>
      <w:keepNext/>
      <w:keepLines/>
      <w:spacing w:before="200"/>
      <w:outlineLvl w:val="2"/>
    </w:pPr>
    <w:rPr>
      <w:b/>
      <w:color w:val="000000"/>
    </w:rPr>
  </w:style>
  <w:style w:type="paragraph" w:styleId="Heading4">
    <w:name w:val="heading 4"/>
    <w:basedOn w:val="Normal"/>
    <w:next w:val="Normal"/>
    <w:uiPriority w:val="9"/>
    <w:semiHidden/>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60"/>
      <w:jc w:val="center"/>
    </w:pPr>
    <w:rPr>
      <w:b/>
      <w:smallCap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alloonText">
    <w:name w:val="Balloon Text"/>
    <w:basedOn w:val="Normal"/>
    <w:link w:val="BalloonTextChar"/>
    <w:uiPriority w:val="99"/>
    <w:semiHidden/>
    <w:unhideWhenUsed/>
    <w:rsid w:val="0029292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2E"/>
    <w:rPr>
      <w:rFonts w:ascii="Segoe UI" w:hAnsi="Segoe UI" w:cs="Segoe UI"/>
      <w:sz w:val="18"/>
      <w:szCs w:val="18"/>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character" w:styleId="Hyperlink">
    <w:name w:val="Hyperlink"/>
    <w:basedOn w:val="DefaultParagraphFont"/>
    <w:uiPriority w:val="99"/>
    <w:unhideWhenUsed/>
    <w:rsid w:val="007F58C7"/>
    <w:rPr>
      <w:color w:val="0000FF" w:themeColor="hyperlink"/>
      <w:u w:val="single"/>
    </w:rPr>
  </w:style>
  <w:style w:type="character" w:customStyle="1" w:styleId="UnresolvedMention1">
    <w:name w:val="Unresolved Mention1"/>
    <w:basedOn w:val="DefaultParagraphFont"/>
    <w:uiPriority w:val="99"/>
    <w:semiHidden/>
    <w:unhideWhenUsed/>
    <w:rsid w:val="007F58C7"/>
    <w:rPr>
      <w:color w:val="605E5C"/>
      <w:shd w:val="clear" w:color="auto" w:fill="E1DFDD"/>
    </w:rPr>
  </w:style>
  <w:style w:type="character" w:styleId="CommentReference">
    <w:name w:val="annotation reference"/>
    <w:basedOn w:val="DefaultParagraphFont"/>
    <w:uiPriority w:val="99"/>
    <w:semiHidden/>
    <w:unhideWhenUsed/>
    <w:rsid w:val="00356BAF"/>
    <w:rPr>
      <w:sz w:val="16"/>
      <w:szCs w:val="16"/>
    </w:rPr>
  </w:style>
  <w:style w:type="paragraph" w:styleId="CommentText">
    <w:name w:val="annotation text"/>
    <w:basedOn w:val="Normal"/>
    <w:link w:val="CommentTextChar"/>
    <w:uiPriority w:val="99"/>
    <w:semiHidden/>
    <w:unhideWhenUsed/>
    <w:rsid w:val="00356BAF"/>
    <w:rPr>
      <w:sz w:val="20"/>
      <w:szCs w:val="20"/>
    </w:rPr>
  </w:style>
  <w:style w:type="character" w:customStyle="1" w:styleId="CommentTextChar">
    <w:name w:val="Comment Text Char"/>
    <w:basedOn w:val="DefaultParagraphFont"/>
    <w:link w:val="CommentText"/>
    <w:uiPriority w:val="99"/>
    <w:semiHidden/>
    <w:rsid w:val="00356BAF"/>
    <w:rPr>
      <w:sz w:val="20"/>
      <w:szCs w:val="20"/>
    </w:rPr>
  </w:style>
  <w:style w:type="paragraph" w:styleId="CommentSubject">
    <w:name w:val="annotation subject"/>
    <w:basedOn w:val="CommentText"/>
    <w:next w:val="CommentText"/>
    <w:link w:val="CommentSubjectChar"/>
    <w:uiPriority w:val="99"/>
    <w:semiHidden/>
    <w:unhideWhenUsed/>
    <w:rsid w:val="00356BAF"/>
    <w:rPr>
      <w:b/>
      <w:bCs/>
    </w:rPr>
  </w:style>
  <w:style w:type="character" w:customStyle="1" w:styleId="CommentSubjectChar">
    <w:name w:val="Comment Subject Char"/>
    <w:basedOn w:val="CommentTextChar"/>
    <w:link w:val="CommentSubject"/>
    <w:uiPriority w:val="99"/>
    <w:semiHidden/>
    <w:rsid w:val="00356BAF"/>
    <w:rPr>
      <w:b/>
      <w:bCs/>
      <w:sz w:val="20"/>
      <w:szCs w:val="20"/>
    </w:rPr>
  </w:style>
  <w:style w:type="paragraph" w:styleId="EndnoteText">
    <w:name w:val="endnote text"/>
    <w:basedOn w:val="Normal"/>
    <w:link w:val="EndnoteTextChar"/>
    <w:uiPriority w:val="99"/>
    <w:semiHidden/>
    <w:unhideWhenUsed/>
    <w:rsid w:val="00FF0DCF"/>
    <w:pPr>
      <w:spacing w:before="0"/>
    </w:pPr>
    <w:rPr>
      <w:sz w:val="20"/>
      <w:szCs w:val="20"/>
    </w:rPr>
  </w:style>
  <w:style w:type="character" w:customStyle="1" w:styleId="EndnoteTextChar">
    <w:name w:val="Endnote Text Char"/>
    <w:basedOn w:val="DefaultParagraphFont"/>
    <w:link w:val="EndnoteText"/>
    <w:uiPriority w:val="99"/>
    <w:semiHidden/>
    <w:rsid w:val="00FF0DCF"/>
    <w:rPr>
      <w:sz w:val="20"/>
      <w:szCs w:val="20"/>
    </w:rPr>
  </w:style>
  <w:style w:type="character" w:styleId="EndnoteReference">
    <w:name w:val="endnote reference"/>
    <w:basedOn w:val="DefaultParagraphFont"/>
    <w:uiPriority w:val="99"/>
    <w:semiHidden/>
    <w:unhideWhenUsed/>
    <w:rsid w:val="00FF0DCF"/>
    <w:rPr>
      <w:vertAlign w:val="superscript"/>
    </w:rPr>
  </w:style>
  <w:style w:type="paragraph" w:styleId="FootnoteText">
    <w:name w:val="footnote text"/>
    <w:basedOn w:val="Normal"/>
    <w:link w:val="FootnoteTextChar"/>
    <w:uiPriority w:val="99"/>
    <w:semiHidden/>
    <w:unhideWhenUsed/>
    <w:rsid w:val="00FF0DCF"/>
    <w:pPr>
      <w:spacing w:before="0"/>
    </w:pPr>
    <w:rPr>
      <w:sz w:val="20"/>
      <w:szCs w:val="20"/>
    </w:rPr>
  </w:style>
  <w:style w:type="character" w:customStyle="1" w:styleId="FootnoteTextChar">
    <w:name w:val="Footnote Text Char"/>
    <w:basedOn w:val="DefaultParagraphFont"/>
    <w:link w:val="FootnoteText"/>
    <w:uiPriority w:val="99"/>
    <w:semiHidden/>
    <w:rsid w:val="00FF0DCF"/>
    <w:rPr>
      <w:sz w:val="20"/>
      <w:szCs w:val="20"/>
    </w:rPr>
  </w:style>
  <w:style w:type="character" w:styleId="FootnoteReference">
    <w:name w:val="footnote reference"/>
    <w:basedOn w:val="DefaultParagraphFont"/>
    <w:uiPriority w:val="99"/>
    <w:semiHidden/>
    <w:unhideWhenUsed/>
    <w:rsid w:val="00FF0DCF"/>
    <w:rPr>
      <w:vertAlign w:val="superscript"/>
    </w:rPr>
  </w:style>
  <w:style w:type="character" w:customStyle="1" w:styleId="serialtitle">
    <w:name w:val="serial_title"/>
    <w:basedOn w:val="DefaultParagraphFont"/>
    <w:rsid w:val="004523AF"/>
  </w:style>
  <w:style w:type="character" w:customStyle="1" w:styleId="volumeissue">
    <w:name w:val="volume_issue"/>
    <w:basedOn w:val="DefaultParagraphFont"/>
    <w:rsid w:val="004523AF"/>
  </w:style>
  <w:style w:type="character" w:customStyle="1" w:styleId="pagerange">
    <w:name w:val="page_range"/>
    <w:basedOn w:val="DefaultParagraphFont"/>
    <w:rsid w:val="004523AF"/>
  </w:style>
  <w:style w:type="character" w:customStyle="1" w:styleId="authors">
    <w:name w:val="authors"/>
    <w:basedOn w:val="DefaultParagraphFont"/>
    <w:rsid w:val="00B625DD"/>
  </w:style>
  <w:style w:type="character" w:customStyle="1" w:styleId="Date1">
    <w:name w:val="Date1"/>
    <w:basedOn w:val="DefaultParagraphFont"/>
    <w:rsid w:val="00B625DD"/>
  </w:style>
  <w:style w:type="character" w:customStyle="1" w:styleId="arttitle">
    <w:name w:val="art_title"/>
    <w:basedOn w:val="DefaultParagraphFont"/>
    <w:rsid w:val="00B62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1167">
      <w:bodyDiv w:val="1"/>
      <w:marLeft w:val="0"/>
      <w:marRight w:val="0"/>
      <w:marTop w:val="0"/>
      <w:marBottom w:val="0"/>
      <w:divBdr>
        <w:top w:val="none" w:sz="0" w:space="0" w:color="auto"/>
        <w:left w:val="none" w:sz="0" w:space="0" w:color="auto"/>
        <w:bottom w:val="none" w:sz="0" w:space="0" w:color="auto"/>
        <w:right w:val="none" w:sz="0" w:space="0" w:color="auto"/>
      </w:divBdr>
      <w:divsChild>
        <w:div w:id="475952606">
          <w:marLeft w:val="0"/>
          <w:marRight w:val="0"/>
          <w:marTop w:val="0"/>
          <w:marBottom w:val="0"/>
          <w:divBdr>
            <w:top w:val="none" w:sz="0" w:space="0" w:color="auto"/>
            <w:left w:val="none" w:sz="0" w:space="0" w:color="auto"/>
            <w:bottom w:val="none" w:sz="0" w:space="0" w:color="auto"/>
            <w:right w:val="none" w:sz="0" w:space="0" w:color="auto"/>
          </w:divBdr>
        </w:div>
      </w:divsChild>
    </w:div>
    <w:div w:id="817503260">
      <w:bodyDiv w:val="1"/>
      <w:marLeft w:val="0"/>
      <w:marRight w:val="0"/>
      <w:marTop w:val="0"/>
      <w:marBottom w:val="0"/>
      <w:divBdr>
        <w:top w:val="none" w:sz="0" w:space="0" w:color="auto"/>
        <w:left w:val="none" w:sz="0" w:space="0" w:color="auto"/>
        <w:bottom w:val="none" w:sz="0" w:space="0" w:color="auto"/>
        <w:right w:val="none" w:sz="0" w:space="0" w:color="auto"/>
      </w:divBdr>
      <w:divsChild>
        <w:div w:id="1175027045">
          <w:marLeft w:val="0"/>
          <w:marRight w:val="0"/>
          <w:marTop w:val="0"/>
          <w:marBottom w:val="0"/>
          <w:divBdr>
            <w:top w:val="none" w:sz="0" w:space="0" w:color="auto"/>
            <w:left w:val="none" w:sz="0" w:space="0" w:color="auto"/>
            <w:bottom w:val="none" w:sz="0" w:space="0" w:color="auto"/>
            <w:right w:val="none" w:sz="0" w:space="0" w:color="auto"/>
          </w:divBdr>
        </w:div>
      </w:divsChild>
    </w:div>
    <w:div w:id="1542354050">
      <w:bodyDiv w:val="1"/>
      <w:marLeft w:val="0"/>
      <w:marRight w:val="0"/>
      <w:marTop w:val="0"/>
      <w:marBottom w:val="0"/>
      <w:divBdr>
        <w:top w:val="none" w:sz="0" w:space="0" w:color="auto"/>
        <w:left w:val="none" w:sz="0" w:space="0" w:color="auto"/>
        <w:bottom w:val="none" w:sz="0" w:space="0" w:color="auto"/>
        <w:right w:val="none" w:sz="0" w:space="0" w:color="auto"/>
      </w:divBdr>
      <w:divsChild>
        <w:div w:id="1418987182">
          <w:marLeft w:val="0"/>
          <w:marRight w:val="0"/>
          <w:marTop w:val="0"/>
          <w:marBottom w:val="0"/>
          <w:divBdr>
            <w:top w:val="none" w:sz="0" w:space="0" w:color="auto"/>
            <w:left w:val="none" w:sz="0" w:space="0" w:color="auto"/>
            <w:bottom w:val="none" w:sz="0" w:space="0" w:color="auto"/>
            <w:right w:val="none" w:sz="0" w:space="0" w:color="auto"/>
          </w:divBdr>
        </w:div>
      </w:divsChild>
    </w:div>
    <w:div w:id="1673297216">
      <w:bodyDiv w:val="1"/>
      <w:marLeft w:val="0"/>
      <w:marRight w:val="0"/>
      <w:marTop w:val="0"/>
      <w:marBottom w:val="0"/>
      <w:divBdr>
        <w:top w:val="none" w:sz="0" w:space="0" w:color="auto"/>
        <w:left w:val="none" w:sz="0" w:space="0" w:color="auto"/>
        <w:bottom w:val="none" w:sz="0" w:space="0" w:color="auto"/>
        <w:right w:val="none" w:sz="0" w:space="0" w:color="auto"/>
      </w:divBdr>
      <w:divsChild>
        <w:div w:id="156467669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atista.com/statistics/288974/king-annual-revenu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www.smartpls.com"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tatista.com/statistics/281595/king-digital-entertainment-quarterly-m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ing.com/game/farmheroes" TargetMode="External"/><Relationship Id="rId2" Type="http://schemas.openxmlformats.org/officeDocument/2006/relationships/hyperlink" Target="https://theconversation.com/social-video-games-to-play-during-the-coronavirus-quarantine-134880" TargetMode="External"/><Relationship Id="rId1" Type="http://schemas.openxmlformats.org/officeDocument/2006/relationships/hyperlink" Target="https://www.bloomberg.com/press-releases/2020-04-10/games-industry-unites-to-promote-world-health-organization-messages-against-covid-19-launch-playaparttogether-campaign" TargetMode="External"/><Relationship Id="rId5" Type="http://schemas.openxmlformats.org/officeDocument/2006/relationships/hyperlink" Target="http://candycrushsaga.com/en/" TargetMode="External"/><Relationship Id="rId4" Type="http://schemas.openxmlformats.org/officeDocument/2006/relationships/hyperlink" Target="https://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sL4Ww4f3e2ZIezopB3OhqAOvqw==">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294732-5BA5-3641-9BC8-35178710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16935</Words>
  <Characters>96535</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2021-05-04T14:15:00Z</dcterms:created>
  <dcterms:modified xsi:type="dcterms:W3CDTF">2021-05-04T14:15:00Z</dcterms:modified>
</cp:coreProperties>
</file>